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DC4967" w14:textId="56D5740D" w:rsidR="00FE7487" w:rsidRDefault="005F45C1" w:rsidP="00FE7487">
      <w:pPr>
        <w:pStyle w:val="Address"/>
        <w:spacing w:line="360" w:lineRule="auto"/>
        <w:jc w:val="both"/>
        <w:rPr>
          <w:b w:val="0"/>
          <w:bCs w:val="0"/>
        </w:rPr>
      </w:pPr>
      <w:r>
        <w:rPr>
          <w:b w:val="0"/>
          <w:bCs w:val="0"/>
        </w:rPr>
        <w:t>Dr Kerry Schott AO</w:t>
      </w:r>
    </w:p>
    <w:p w14:paraId="55D1F368" w14:textId="1CD43DA5" w:rsidR="005F45C1" w:rsidRDefault="005F45C1" w:rsidP="00FE7487">
      <w:pPr>
        <w:pStyle w:val="Address"/>
        <w:spacing w:line="360" w:lineRule="auto"/>
        <w:jc w:val="both"/>
        <w:rPr>
          <w:b w:val="0"/>
          <w:bCs w:val="0"/>
        </w:rPr>
      </w:pPr>
      <w:r>
        <w:rPr>
          <w:b w:val="0"/>
          <w:bCs w:val="0"/>
        </w:rPr>
        <w:t>Independent Chair</w:t>
      </w:r>
    </w:p>
    <w:p w14:paraId="154DB597" w14:textId="075BC742" w:rsidR="005F45C1" w:rsidRPr="005F45C1" w:rsidRDefault="005F45C1" w:rsidP="00FE7487">
      <w:pPr>
        <w:pStyle w:val="Address"/>
        <w:spacing w:line="360" w:lineRule="auto"/>
        <w:jc w:val="both"/>
        <w:rPr>
          <w:b w:val="0"/>
          <w:bCs w:val="0"/>
        </w:rPr>
      </w:pPr>
      <w:r>
        <w:rPr>
          <w:b w:val="0"/>
          <w:bCs w:val="0"/>
        </w:rPr>
        <w:t>Energy Security Board</w:t>
      </w:r>
    </w:p>
    <w:p w14:paraId="4FDE7940" w14:textId="036C7C50" w:rsidR="00D05616" w:rsidRDefault="00FE7487" w:rsidP="00D05616">
      <w:pPr>
        <w:pStyle w:val="Address"/>
        <w:spacing w:line="360" w:lineRule="auto"/>
        <w:jc w:val="both"/>
      </w:pPr>
      <w:r w:rsidRPr="00C80939">
        <w:t xml:space="preserve">Submitted </w:t>
      </w:r>
      <w:r w:rsidR="005F45C1">
        <w:t>via email to</w:t>
      </w:r>
      <w:r>
        <w:t xml:space="preserve">: </w:t>
      </w:r>
      <w:hyperlink r:id="rId11" w:history="1">
        <w:r w:rsidR="005F45C1" w:rsidRPr="00DC3BF3">
          <w:rPr>
            <w:rStyle w:val="Hyperlink"/>
          </w:rPr>
          <w:t>info@esb.org.au</w:t>
        </w:r>
      </w:hyperlink>
    </w:p>
    <w:p w14:paraId="61E5BC7C" w14:textId="77777777" w:rsidR="00CE52BE" w:rsidRDefault="00CE52BE" w:rsidP="00D05616">
      <w:pPr>
        <w:pStyle w:val="Address"/>
        <w:spacing w:line="360" w:lineRule="auto"/>
        <w:jc w:val="both"/>
      </w:pPr>
    </w:p>
    <w:p w14:paraId="2DD0ABD6" w14:textId="5CB17F63" w:rsidR="00FE7487" w:rsidRPr="00D05616" w:rsidRDefault="005F45C1" w:rsidP="00D05616">
      <w:pPr>
        <w:pStyle w:val="Address"/>
        <w:spacing w:line="360" w:lineRule="auto"/>
        <w:jc w:val="both"/>
        <w:rPr>
          <w:u w:val="single"/>
        </w:rPr>
      </w:pPr>
      <w:r>
        <w:t>28</w:t>
      </w:r>
      <w:r w:rsidR="00AA79AC">
        <w:t xml:space="preserve"> July 2020</w:t>
      </w:r>
    </w:p>
    <w:p w14:paraId="395CF9CC" w14:textId="5653EFA3" w:rsidR="00FE7487" w:rsidRDefault="00FE7487" w:rsidP="00051D32">
      <w:pPr>
        <w:pStyle w:val="AGLBodycopy"/>
        <w:jc w:val="both"/>
        <w:rPr>
          <w:rFonts w:cstheme="minorHAnsi"/>
          <w:szCs w:val="20"/>
        </w:rPr>
      </w:pPr>
      <w:r w:rsidRPr="000A1439">
        <w:rPr>
          <w:rFonts w:cstheme="minorHAnsi"/>
          <w:szCs w:val="20"/>
        </w:rPr>
        <w:t xml:space="preserve">Dear </w:t>
      </w:r>
      <w:r w:rsidR="005F45C1">
        <w:rPr>
          <w:rFonts w:cstheme="minorHAnsi"/>
          <w:szCs w:val="20"/>
        </w:rPr>
        <w:t>Dr Schott</w:t>
      </w:r>
    </w:p>
    <w:p w14:paraId="3EE7E4C5" w14:textId="63BD4C4A" w:rsidR="00FE7487" w:rsidRPr="004473A2" w:rsidRDefault="005F45C1" w:rsidP="00051D32">
      <w:pPr>
        <w:pStyle w:val="AGLBodycopy"/>
        <w:jc w:val="both"/>
        <w:rPr>
          <w:rFonts w:cstheme="minorHAnsi"/>
          <w:b/>
          <w:szCs w:val="20"/>
        </w:rPr>
      </w:pPr>
      <w:r>
        <w:rPr>
          <w:rFonts w:cstheme="minorHAnsi"/>
          <w:b/>
          <w:szCs w:val="20"/>
        </w:rPr>
        <w:t xml:space="preserve">Governance of DER </w:t>
      </w:r>
      <w:r w:rsidR="00D50FB0">
        <w:rPr>
          <w:rFonts w:cstheme="minorHAnsi"/>
          <w:b/>
          <w:szCs w:val="20"/>
        </w:rPr>
        <w:t xml:space="preserve">Technical </w:t>
      </w:r>
      <w:r>
        <w:rPr>
          <w:rFonts w:cstheme="minorHAnsi"/>
          <w:b/>
          <w:szCs w:val="20"/>
        </w:rPr>
        <w:t>S</w:t>
      </w:r>
      <w:r w:rsidR="00D50FB0">
        <w:rPr>
          <w:rFonts w:cstheme="minorHAnsi"/>
          <w:b/>
          <w:szCs w:val="20"/>
        </w:rPr>
        <w:t xml:space="preserve">tandards, Consultation </w:t>
      </w:r>
      <w:r w:rsidR="00765FCF">
        <w:rPr>
          <w:rFonts w:cstheme="minorHAnsi"/>
          <w:b/>
          <w:szCs w:val="20"/>
        </w:rPr>
        <w:t>P</w:t>
      </w:r>
      <w:r w:rsidR="00D50FB0">
        <w:rPr>
          <w:rFonts w:cstheme="minorHAnsi"/>
          <w:b/>
          <w:szCs w:val="20"/>
        </w:rPr>
        <w:t xml:space="preserve">aper, </w:t>
      </w:r>
      <w:r>
        <w:rPr>
          <w:rFonts w:cstheme="minorHAnsi"/>
          <w:b/>
          <w:szCs w:val="20"/>
        </w:rPr>
        <w:t>July</w:t>
      </w:r>
      <w:r w:rsidR="00D50FB0">
        <w:rPr>
          <w:rFonts w:cstheme="minorHAnsi"/>
          <w:b/>
          <w:szCs w:val="20"/>
        </w:rPr>
        <w:t xml:space="preserve"> 2020</w:t>
      </w:r>
    </w:p>
    <w:p w14:paraId="6C42A626" w14:textId="3784031B" w:rsidR="00884F0B" w:rsidRDefault="00FE7487" w:rsidP="00765FCF">
      <w:pPr>
        <w:pStyle w:val="AGLBodycopy"/>
        <w:jc w:val="both"/>
        <w:rPr>
          <w:rFonts w:cstheme="minorHAnsi"/>
          <w:szCs w:val="20"/>
        </w:rPr>
      </w:pPr>
      <w:r>
        <w:rPr>
          <w:rFonts w:cstheme="minorHAnsi"/>
          <w:szCs w:val="20"/>
        </w:rPr>
        <w:t>AGL Energy (</w:t>
      </w:r>
      <w:r>
        <w:rPr>
          <w:rFonts w:cstheme="minorHAnsi"/>
          <w:b/>
          <w:szCs w:val="20"/>
        </w:rPr>
        <w:t>AGL</w:t>
      </w:r>
      <w:r>
        <w:rPr>
          <w:rFonts w:cstheme="minorHAnsi"/>
          <w:szCs w:val="20"/>
        </w:rPr>
        <w:t>) welcomes the</w:t>
      </w:r>
      <w:r w:rsidRPr="004473A2">
        <w:rPr>
          <w:rFonts w:cstheme="minorHAnsi"/>
          <w:szCs w:val="20"/>
        </w:rPr>
        <w:t xml:space="preserve"> opportunity to </w:t>
      </w:r>
      <w:r>
        <w:rPr>
          <w:rFonts w:cstheme="minorHAnsi"/>
          <w:szCs w:val="20"/>
        </w:rPr>
        <w:t xml:space="preserve">respond to the </w:t>
      </w:r>
      <w:r w:rsidR="005F45C1">
        <w:rPr>
          <w:rFonts w:cstheme="minorHAnsi"/>
          <w:szCs w:val="20"/>
        </w:rPr>
        <w:t>Energy Security Board’s</w:t>
      </w:r>
      <w:r>
        <w:rPr>
          <w:rFonts w:cstheme="minorHAnsi"/>
          <w:szCs w:val="20"/>
        </w:rPr>
        <w:t xml:space="preserve"> </w:t>
      </w:r>
      <w:r w:rsidR="00AA79AC">
        <w:rPr>
          <w:rFonts w:cstheme="minorHAnsi"/>
          <w:szCs w:val="20"/>
        </w:rPr>
        <w:t>(</w:t>
      </w:r>
      <w:r w:rsidR="005F45C1">
        <w:rPr>
          <w:rFonts w:cstheme="minorHAnsi"/>
          <w:b/>
          <w:bCs/>
          <w:szCs w:val="20"/>
        </w:rPr>
        <w:t>ESB</w:t>
      </w:r>
      <w:r w:rsidR="00AA79AC">
        <w:rPr>
          <w:rFonts w:cstheme="minorHAnsi"/>
          <w:szCs w:val="20"/>
        </w:rPr>
        <w:t xml:space="preserve">) </w:t>
      </w:r>
      <w:r w:rsidR="00D50FB0">
        <w:rPr>
          <w:rFonts w:cstheme="minorHAnsi"/>
          <w:szCs w:val="20"/>
        </w:rPr>
        <w:t>Consultation Paper</w:t>
      </w:r>
      <w:r w:rsidR="00AA79AC" w:rsidRPr="00AA79AC">
        <w:rPr>
          <w:rFonts w:cstheme="minorHAnsi"/>
          <w:szCs w:val="20"/>
        </w:rPr>
        <w:t xml:space="preserve"> </w:t>
      </w:r>
      <w:r w:rsidR="00D50FB0">
        <w:rPr>
          <w:rFonts w:cstheme="minorHAnsi"/>
          <w:szCs w:val="20"/>
        </w:rPr>
        <w:t xml:space="preserve">on </w:t>
      </w:r>
      <w:r w:rsidR="005F45C1">
        <w:rPr>
          <w:rFonts w:cstheme="minorHAnsi"/>
          <w:szCs w:val="20"/>
        </w:rPr>
        <w:t>Governance of DER Technical Standards, July 2020 (</w:t>
      </w:r>
      <w:r w:rsidR="005F45C1" w:rsidRPr="005F45C1">
        <w:rPr>
          <w:rFonts w:cstheme="minorHAnsi"/>
          <w:b/>
          <w:bCs/>
          <w:szCs w:val="20"/>
        </w:rPr>
        <w:t>Consultation Paper</w:t>
      </w:r>
      <w:r w:rsidR="005F45C1">
        <w:rPr>
          <w:rFonts w:cstheme="minorHAnsi"/>
          <w:szCs w:val="20"/>
        </w:rPr>
        <w:t>)</w:t>
      </w:r>
      <w:r w:rsidR="00AA79AC">
        <w:rPr>
          <w:rFonts w:cstheme="minorHAnsi"/>
          <w:szCs w:val="20"/>
        </w:rPr>
        <w:t xml:space="preserve">. </w:t>
      </w:r>
    </w:p>
    <w:p w14:paraId="3D24569C" w14:textId="7DFBBCEE" w:rsidR="007538D0" w:rsidRDefault="007538D0" w:rsidP="00765FCF">
      <w:pPr>
        <w:pStyle w:val="AGLBodycopy"/>
        <w:jc w:val="both"/>
      </w:pPr>
      <w:r>
        <w:t>AGL’s product and service suite promote continued consumer uptake of distributed energy resources (</w:t>
      </w:r>
      <w:r w:rsidRPr="004F07C1">
        <w:rPr>
          <w:b/>
          <w:bCs/>
        </w:rPr>
        <w:t>DER</w:t>
      </w:r>
      <w:r>
        <w:t xml:space="preserve">) enabling customers to actively participate and share in the value that DER can provide to the electricity system. </w:t>
      </w:r>
      <w:r w:rsidR="00D9013C">
        <w:t xml:space="preserve">Our current DER product and service offerings include our </w:t>
      </w:r>
      <w:r>
        <w:t>leading</w:t>
      </w:r>
      <w:r w:rsidR="00485419">
        <w:t>-</w:t>
      </w:r>
      <w:r>
        <w:t xml:space="preserve">edge </w:t>
      </w:r>
      <w:r w:rsidR="00D9013C">
        <w:t>Virtual Power Plant</w:t>
      </w:r>
      <w:r w:rsidR="00D9013C">
        <w:rPr>
          <w:rStyle w:val="FootnoteReference"/>
        </w:rPr>
        <w:footnoteReference w:id="1"/>
      </w:r>
      <w:r w:rsidR="00D9013C">
        <w:t>, our retail offer for electric vehicle owners</w:t>
      </w:r>
      <w:r w:rsidR="00D9013C">
        <w:rPr>
          <w:rStyle w:val="FootnoteReference"/>
        </w:rPr>
        <w:footnoteReference w:id="2"/>
      </w:r>
      <w:r w:rsidR="00D9013C">
        <w:t xml:space="preserve"> and our Peak Energy Rewards </w:t>
      </w:r>
      <w:r w:rsidR="00D9013C" w:rsidRPr="00544360">
        <w:rPr>
          <w:i/>
          <w:iCs/>
        </w:rPr>
        <w:t>Managed for You</w:t>
      </w:r>
      <w:r w:rsidR="00D9013C">
        <w:t xml:space="preserve"> program.</w:t>
      </w:r>
      <w:r w:rsidR="00D9013C">
        <w:rPr>
          <w:rStyle w:val="FootnoteReference"/>
        </w:rPr>
        <w:footnoteReference w:id="3"/>
      </w:r>
      <w:r w:rsidR="00765FCF">
        <w:t xml:space="preserve"> </w:t>
      </w:r>
    </w:p>
    <w:p w14:paraId="5D346E87" w14:textId="5E90B14C" w:rsidR="00D9013C" w:rsidRPr="00765FCF" w:rsidRDefault="007538D0" w:rsidP="00765FCF">
      <w:pPr>
        <w:pStyle w:val="AGLBodycopy"/>
        <w:jc w:val="both"/>
      </w:pPr>
      <w:r>
        <w:t xml:space="preserve">As a leader in DER products and services, </w:t>
      </w:r>
      <w:r w:rsidR="00D9013C" w:rsidRPr="00E534AE">
        <w:rPr>
          <w:rFonts w:cstheme="minorHAnsi"/>
          <w:szCs w:val="20"/>
        </w:rPr>
        <w:t xml:space="preserve">AGL </w:t>
      </w:r>
      <w:r w:rsidRPr="00E534AE">
        <w:rPr>
          <w:rFonts w:cstheme="minorHAnsi"/>
          <w:szCs w:val="20"/>
        </w:rPr>
        <w:t xml:space="preserve">has </w:t>
      </w:r>
      <w:r>
        <w:rPr>
          <w:rFonts w:cstheme="minorHAnsi"/>
          <w:szCs w:val="20"/>
        </w:rPr>
        <w:t>also actively participated through bringing the consumers’ view and interest</w:t>
      </w:r>
      <w:r w:rsidR="00485419">
        <w:rPr>
          <w:rFonts w:cstheme="minorHAnsi"/>
          <w:szCs w:val="20"/>
        </w:rPr>
        <w:t>s</w:t>
      </w:r>
      <w:r w:rsidRPr="00E534AE">
        <w:rPr>
          <w:rFonts w:cstheme="minorHAnsi"/>
          <w:szCs w:val="20"/>
        </w:rPr>
        <w:t xml:space="preserve"> in</w:t>
      </w:r>
      <w:r w:rsidR="00485419">
        <w:rPr>
          <w:rFonts w:cstheme="minorHAnsi"/>
          <w:szCs w:val="20"/>
        </w:rPr>
        <w:t>to</w:t>
      </w:r>
      <w:r w:rsidRPr="00E534AE">
        <w:rPr>
          <w:rFonts w:cstheme="minorHAnsi"/>
          <w:szCs w:val="20"/>
        </w:rPr>
        <w:t xml:space="preserve"> the</w:t>
      </w:r>
      <w:r w:rsidRPr="00E534AE" w:rsidDel="007538D0">
        <w:rPr>
          <w:rFonts w:cstheme="minorHAnsi"/>
          <w:szCs w:val="20"/>
        </w:rPr>
        <w:t xml:space="preserve"> </w:t>
      </w:r>
      <w:r w:rsidR="00D9013C" w:rsidRPr="00E534AE">
        <w:rPr>
          <w:rFonts w:cstheme="minorHAnsi"/>
          <w:szCs w:val="20"/>
        </w:rPr>
        <w:t>development of a range of technical standards applicable to DER</w:t>
      </w:r>
      <w:r w:rsidR="00485419">
        <w:rPr>
          <w:rFonts w:cstheme="minorHAnsi"/>
          <w:szCs w:val="20"/>
        </w:rPr>
        <w:t>.</w:t>
      </w:r>
      <w:r w:rsidR="00D9013C" w:rsidRPr="00E534AE">
        <w:rPr>
          <w:rFonts w:cstheme="minorHAnsi"/>
          <w:szCs w:val="20"/>
        </w:rPr>
        <w:t xml:space="preserve"> </w:t>
      </w:r>
      <w:r w:rsidR="00485419">
        <w:rPr>
          <w:rFonts w:cstheme="minorHAnsi"/>
          <w:szCs w:val="20"/>
        </w:rPr>
        <w:t xml:space="preserve">We </w:t>
      </w:r>
      <w:r w:rsidR="00D9013C" w:rsidRPr="00E534AE">
        <w:rPr>
          <w:rFonts w:cstheme="minorHAnsi"/>
          <w:szCs w:val="20"/>
        </w:rPr>
        <w:t xml:space="preserve">currently represent the Australian Energy Council </w:t>
      </w:r>
      <w:r w:rsidR="002A3F5D">
        <w:rPr>
          <w:rFonts w:cstheme="minorHAnsi"/>
          <w:szCs w:val="20"/>
        </w:rPr>
        <w:t>(</w:t>
      </w:r>
      <w:r w:rsidR="002A3F5D" w:rsidRPr="002A3F5D">
        <w:rPr>
          <w:rFonts w:cstheme="minorHAnsi"/>
          <w:b/>
          <w:bCs/>
          <w:szCs w:val="20"/>
        </w:rPr>
        <w:t>AEC</w:t>
      </w:r>
      <w:r w:rsidR="002A3F5D">
        <w:rPr>
          <w:rFonts w:cstheme="minorHAnsi"/>
          <w:szCs w:val="20"/>
        </w:rPr>
        <w:t xml:space="preserve">) </w:t>
      </w:r>
      <w:r w:rsidR="00D9013C" w:rsidRPr="00E534AE">
        <w:rPr>
          <w:rFonts w:cstheme="minorHAnsi"/>
          <w:szCs w:val="20"/>
        </w:rPr>
        <w:t>membership on a range of relevant Standards Australia Committees, including:</w:t>
      </w:r>
    </w:p>
    <w:p w14:paraId="3F81123A" w14:textId="77777777" w:rsidR="00D9013C" w:rsidRPr="00E534AE" w:rsidRDefault="00D9013C" w:rsidP="00CE48E3">
      <w:pPr>
        <w:pStyle w:val="AGLBodycopy"/>
        <w:numPr>
          <w:ilvl w:val="0"/>
          <w:numId w:val="1"/>
        </w:numPr>
        <w:jc w:val="both"/>
        <w:rPr>
          <w:rFonts w:cstheme="minorHAnsi"/>
          <w:szCs w:val="20"/>
        </w:rPr>
      </w:pPr>
      <w:r w:rsidRPr="00E534AE">
        <w:rPr>
          <w:rFonts w:cstheme="minorHAnsi"/>
          <w:szCs w:val="20"/>
        </w:rPr>
        <w:t>EL-42 (Renewable Energy Power Supply Systems and Equipment</w:t>
      </w:r>
      <w:proofErr w:type="gramStart"/>
      <w:r w:rsidRPr="00E534AE">
        <w:rPr>
          <w:rFonts w:cstheme="minorHAnsi"/>
          <w:szCs w:val="20"/>
        </w:rPr>
        <w:t>);</w:t>
      </w:r>
      <w:proofErr w:type="gramEnd"/>
    </w:p>
    <w:p w14:paraId="55A50519" w14:textId="77777777" w:rsidR="00D9013C" w:rsidRPr="00E534AE" w:rsidRDefault="00D9013C" w:rsidP="00CE48E3">
      <w:pPr>
        <w:pStyle w:val="AGLBodycopy"/>
        <w:numPr>
          <w:ilvl w:val="0"/>
          <w:numId w:val="1"/>
        </w:numPr>
        <w:jc w:val="both"/>
        <w:rPr>
          <w:rFonts w:cstheme="minorHAnsi"/>
          <w:szCs w:val="20"/>
        </w:rPr>
      </w:pPr>
      <w:r w:rsidRPr="00E534AE">
        <w:rPr>
          <w:rFonts w:cstheme="minorHAnsi"/>
          <w:szCs w:val="20"/>
        </w:rPr>
        <w:t>EL-54 (Remote demand management of electrical products); and</w:t>
      </w:r>
    </w:p>
    <w:p w14:paraId="36C17B9B" w14:textId="77777777" w:rsidR="00D9013C" w:rsidRPr="00E534AE" w:rsidRDefault="00D9013C" w:rsidP="00CE48E3">
      <w:pPr>
        <w:pStyle w:val="AGLBodycopy"/>
        <w:numPr>
          <w:ilvl w:val="0"/>
          <w:numId w:val="1"/>
        </w:numPr>
        <w:jc w:val="both"/>
        <w:rPr>
          <w:rFonts w:cstheme="minorHAnsi"/>
          <w:szCs w:val="20"/>
        </w:rPr>
      </w:pPr>
      <w:r w:rsidRPr="00E534AE">
        <w:rPr>
          <w:rFonts w:cstheme="minorHAnsi"/>
          <w:szCs w:val="20"/>
        </w:rPr>
        <w:t>EL-64 (Decentralised electrical energy and grid integration of renewable energy system).</w:t>
      </w:r>
    </w:p>
    <w:p w14:paraId="7C54F950" w14:textId="614E8DDE" w:rsidR="007538D0" w:rsidRDefault="00D9013C" w:rsidP="00765FCF">
      <w:pPr>
        <w:pStyle w:val="AGLBodycopy"/>
        <w:jc w:val="both"/>
        <w:rPr>
          <w:rFonts w:cstheme="minorHAnsi"/>
          <w:szCs w:val="20"/>
        </w:rPr>
      </w:pPr>
      <w:r w:rsidRPr="00E534AE">
        <w:rPr>
          <w:rFonts w:cstheme="minorHAnsi"/>
          <w:szCs w:val="20"/>
        </w:rPr>
        <w:t>We are</w:t>
      </w:r>
      <w:r w:rsidR="00765FCF">
        <w:rPr>
          <w:rFonts w:cstheme="minorHAnsi"/>
          <w:szCs w:val="20"/>
        </w:rPr>
        <w:t xml:space="preserve"> also</w:t>
      </w:r>
      <w:r w:rsidRPr="00E534AE">
        <w:rPr>
          <w:rFonts w:cstheme="minorHAnsi"/>
          <w:szCs w:val="20"/>
        </w:rPr>
        <w:t xml:space="preserve"> </w:t>
      </w:r>
      <w:r w:rsidR="00DA5625">
        <w:rPr>
          <w:rFonts w:cstheme="minorHAnsi"/>
          <w:szCs w:val="20"/>
        </w:rPr>
        <w:t>engaged</w:t>
      </w:r>
      <w:r>
        <w:rPr>
          <w:rFonts w:cstheme="minorHAnsi"/>
          <w:szCs w:val="20"/>
        </w:rPr>
        <w:t xml:space="preserve"> in a range </w:t>
      </w:r>
      <w:r w:rsidR="00DA5625">
        <w:rPr>
          <w:rFonts w:cstheme="minorHAnsi"/>
          <w:szCs w:val="20"/>
        </w:rPr>
        <w:t>of industry forums</w:t>
      </w:r>
      <w:r>
        <w:rPr>
          <w:rFonts w:cstheme="minorHAnsi"/>
          <w:szCs w:val="20"/>
        </w:rPr>
        <w:t xml:space="preserve"> </w:t>
      </w:r>
      <w:r w:rsidR="00DA5625">
        <w:rPr>
          <w:rFonts w:cstheme="minorHAnsi"/>
          <w:szCs w:val="20"/>
        </w:rPr>
        <w:t>focused on</w:t>
      </w:r>
      <w:r>
        <w:rPr>
          <w:rFonts w:cstheme="minorHAnsi"/>
          <w:szCs w:val="20"/>
        </w:rPr>
        <w:t xml:space="preserve"> the development of appropriate technical standards</w:t>
      </w:r>
      <w:r w:rsidR="00574D41">
        <w:rPr>
          <w:rFonts w:cstheme="minorHAnsi"/>
          <w:szCs w:val="20"/>
        </w:rPr>
        <w:t xml:space="preserve"> and protocols</w:t>
      </w:r>
      <w:r w:rsidR="00DA5625">
        <w:rPr>
          <w:rFonts w:cstheme="minorHAnsi"/>
          <w:szCs w:val="20"/>
        </w:rPr>
        <w:t xml:space="preserve"> to support DER integration, including </w:t>
      </w:r>
      <w:r>
        <w:rPr>
          <w:rFonts w:cstheme="minorHAnsi"/>
          <w:szCs w:val="20"/>
        </w:rPr>
        <w:t xml:space="preserve">the Distributed Energy Integration Program </w:t>
      </w:r>
      <w:r w:rsidR="00977459">
        <w:rPr>
          <w:rFonts w:cstheme="minorHAnsi"/>
          <w:szCs w:val="20"/>
        </w:rPr>
        <w:t>and API Technical Working Group</w:t>
      </w:r>
      <w:r w:rsidRPr="00E534AE">
        <w:rPr>
          <w:rFonts w:cstheme="minorHAnsi"/>
          <w:szCs w:val="20"/>
        </w:rPr>
        <w:t>.</w:t>
      </w:r>
      <w:r w:rsidR="00765FCF">
        <w:rPr>
          <w:rFonts w:cstheme="minorHAnsi"/>
          <w:szCs w:val="20"/>
        </w:rPr>
        <w:t xml:space="preserve"> </w:t>
      </w:r>
      <w:r w:rsidR="007538D0">
        <w:rPr>
          <w:rFonts w:cstheme="minorHAnsi"/>
          <w:szCs w:val="20"/>
        </w:rPr>
        <w:t xml:space="preserve">We have consistently advocated in these forums </w:t>
      </w:r>
      <w:r w:rsidR="00485419">
        <w:rPr>
          <w:rFonts w:cstheme="minorHAnsi"/>
          <w:szCs w:val="20"/>
        </w:rPr>
        <w:t>for</w:t>
      </w:r>
      <w:r w:rsidR="004F07C1">
        <w:rPr>
          <w:rFonts w:cstheme="minorHAnsi"/>
          <w:szCs w:val="20"/>
        </w:rPr>
        <w:t xml:space="preserve"> technical standards and protocols </w:t>
      </w:r>
      <w:r w:rsidR="007538D0">
        <w:t xml:space="preserve">governing DER </w:t>
      </w:r>
      <w:r w:rsidR="00485419">
        <w:t>to</w:t>
      </w:r>
      <w:r w:rsidR="007538D0">
        <w:t xml:space="preserve"> empower consumers with choice to utilise and optimise DER assets for their own comfort and to participate in competitive market services which address broader energy system needs</w:t>
      </w:r>
      <w:r w:rsidR="004F07C1">
        <w:t xml:space="preserve">. </w:t>
      </w:r>
    </w:p>
    <w:p w14:paraId="6CAC0786" w14:textId="1583CCD0" w:rsidR="00765FCF" w:rsidRDefault="00765FCF" w:rsidP="00765FCF">
      <w:pPr>
        <w:pStyle w:val="AGLBodycopy"/>
        <w:jc w:val="both"/>
        <w:rPr>
          <w:rFonts w:cstheme="minorHAnsi"/>
          <w:szCs w:val="20"/>
        </w:rPr>
      </w:pPr>
      <w:r>
        <w:rPr>
          <w:rFonts w:cstheme="minorHAnsi"/>
          <w:szCs w:val="20"/>
        </w:rPr>
        <w:t xml:space="preserve">Our feedback on the Consultation Paper is based on our </w:t>
      </w:r>
      <w:r w:rsidR="00977459">
        <w:rPr>
          <w:rFonts w:cstheme="minorHAnsi"/>
          <w:szCs w:val="20"/>
        </w:rPr>
        <w:t xml:space="preserve">operational </w:t>
      </w:r>
      <w:r>
        <w:rPr>
          <w:rFonts w:cstheme="minorHAnsi"/>
          <w:szCs w:val="20"/>
        </w:rPr>
        <w:t>experience</w:t>
      </w:r>
      <w:r w:rsidR="00574D41">
        <w:rPr>
          <w:rFonts w:cstheme="minorHAnsi"/>
          <w:szCs w:val="20"/>
        </w:rPr>
        <w:t xml:space="preserve"> with DER products and services</w:t>
      </w:r>
      <w:r>
        <w:rPr>
          <w:rFonts w:cstheme="minorHAnsi"/>
          <w:szCs w:val="20"/>
        </w:rPr>
        <w:t xml:space="preserve"> </w:t>
      </w:r>
      <w:r w:rsidR="00977459">
        <w:rPr>
          <w:rFonts w:cstheme="minorHAnsi"/>
          <w:szCs w:val="20"/>
        </w:rPr>
        <w:t>a</w:t>
      </w:r>
      <w:r>
        <w:rPr>
          <w:rFonts w:cstheme="minorHAnsi"/>
          <w:szCs w:val="20"/>
        </w:rPr>
        <w:t xml:space="preserve">nd </w:t>
      </w:r>
      <w:r w:rsidR="00977459">
        <w:rPr>
          <w:rFonts w:cstheme="minorHAnsi"/>
          <w:szCs w:val="20"/>
        </w:rPr>
        <w:t xml:space="preserve">ongoing involvement in </w:t>
      </w:r>
      <w:r>
        <w:rPr>
          <w:rFonts w:cstheme="minorHAnsi"/>
          <w:szCs w:val="20"/>
        </w:rPr>
        <w:t>technical standards</w:t>
      </w:r>
      <w:r w:rsidR="00977459">
        <w:rPr>
          <w:rFonts w:cstheme="minorHAnsi"/>
          <w:szCs w:val="20"/>
        </w:rPr>
        <w:t xml:space="preserve"> development</w:t>
      </w:r>
      <w:r>
        <w:rPr>
          <w:rFonts w:cstheme="minorHAnsi"/>
          <w:szCs w:val="20"/>
        </w:rPr>
        <w:t xml:space="preserve">. </w:t>
      </w:r>
    </w:p>
    <w:p w14:paraId="19D195C9" w14:textId="77777777" w:rsidR="004F07C1" w:rsidRDefault="004F07C1" w:rsidP="00765FCF">
      <w:pPr>
        <w:pStyle w:val="AGLBodycopy"/>
        <w:jc w:val="both"/>
        <w:rPr>
          <w:rFonts w:cstheme="minorHAnsi"/>
          <w:b/>
          <w:bCs/>
          <w:szCs w:val="20"/>
        </w:rPr>
      </w:pPr>
    </w:p>
    <w:p w14:paraId="1A8E9139" w14:textId="64D350DA" w:rsidR="00D50FB0" w:rsidRDefault="00D50FB0" w:rsidP="00765FCF">
      <w:pPr>
        <w:pStyle w:val="AGLBodycopy"/>
        <w:jc w:val="both"/>
        <w:rPr>
          <w:rFonts w:cstheme="minorHAnsi"/>
          <w:b/>
          <w:bCs/>
          <w:szCs w:val="20"/>
        </w:rPr>
      </w:pPr>
      <w:r w:rsidRPr="00D50FB0">
        <w:rPr>
          <w:rFonts w:cstheme="minorHAnsi"/>
          <w:b/>
          <w:bCs/>
          <w:szCs w:val="20"/>
        </w:rPr>
        <w:lastRenderedPageBreak/>
        <w:t>Strategic direction</w:t>
      </w:r>
    </w:p>
    <w:p w14:paraId="34D0AE03" w14:textId="10233FB6" w:rsidR="004F07C1" w:rsidRDefault="007538D0" w:rsidP="004F07C1">
      <w:pPr>
        <w:pStyle w:val="AGLBodycopy"/>
        <w:numPr>
          <w:ilvl w:val="0"/>
          <w:numId w:val="16"/>
        </w:numPr>
        <w:jc w:val="both"/>
      </w:pPr>
      <w:r>
        <w:rPr>
          <w:szCs w:val="20"/>
        </w:rPr>
        <w:t>AGL supports the proposal to establish a DER Standards Governance Committee (</w:t>
      </w:r>
      <w:r>
        <w:rPr>
          <w:b/>
          <w:bCs/>
          <w:szCs w:val="20"/>
        </w:rPr>
        <w:t>Committee</w:t>
      </w:r>
      <w:r>
        <w:rPr>
          <w:szCs w:val="20"/>
        </w:rPr>
        <w:t>), provided its functions and powers complement and enhance the current standards making process</w:t>
      </w:r>
      <w:r w:rsidR="00485419">
        <w:rPr>
          <w:szCs w:val="20"/>
        </w:rPr>
        <w:t>, particularly the functions of Standards Australia,</w:t>
      </w:r>
      <w:r>
        <w:rPr>
          <w:szCs w:val="20"/>
        </w:rPr>
        <w:t xml:space="preserve"> and do not introduce additional complexity or duplication.</w:t>
      </w:r>
    </w:p>
    <w:p w14:paraId="4B30C468" w14:textId="3211DFDF" w:rsidR="004F07C1" w:rsidRPr="00770B28" w:rsidRDefault="004F07C1" w:rsidP="004F07C1">
      <w:pPr>
        <w:pStyle w:val="AGLBodycopy"/>
        <w:numPr>
          <w:ilvl w:val="0"/>
          <w:numId w:val="16"/>
        </w:numPr>
        <w:jc w:val="both"/>
      </w:pPr>
      <w:r>
        <w:t>W</w:t>
      </w:r>
      <w:r w:rsidRPr="004F07C1">
        <w:rPr>
          <w:szCs w:val="20"/>
        </w:rPr>
        <w:t>e support the Committee being advisory rather than determining</w:t>
      </w:r>
      <w:r>
        <w:t xml:space="preserve"> and we </w:t>
      </w:r>
      <w:r w:rsidRPr="004F07C1">
        <w:rPr>
          <w:szCs w:val="20"/>
        </w:rPr>
        <w:t xml:space="preserve">consider that the Committee should be responsible for: </w:t>
      </w:r>
    </w:p>
    <w:p w14:paraId="28EB9D8E" w14:textId="77777777" w:rsidR="004F07C1" w:rsidRPr="004F07C1" w:rsidRDefault="004F07C1" w:rsidP="004F07C1">
      <w:pPr>
        <w:pStyle w:val="AGLBodycopy"/>
        <w:numPr>
          <w:ilvl w:val="0"/>
          <w:numId w:val="17"/>
        </w:numPr>
        <w:jc w:val="both"/>
        <w:rPr>
          <w:szCs w:val="20"/>
        </w:rPr>
      </w:pPr>
      <w:r w:rsidRPr="004F07C1">
        <w:rPr>
          <w:szCs w:val="20"/>
        </w:rPr>
        <w:t>Setting a strategic direction with respect to DER technical standards.</w:t>
      </w:r>
    </w:p>
    <w:p w14:paraId="720806E8" w14:textId="77777777" w:rsidR="004F07C1" w:rsidRPr="004F07C1" w:rsidRDefault="004F07C1" w:rsidP="004F07C1">
      <w:pPr>
        <w:pStyle w:val="AGLBodycopy"/>
        <w:numPr>
          <w:ilvl w:val="0"/>
          <w:numId w:val="17"/>
        </w:numPr>
        <w:jc w:val="both"/>
        <w:rPr>
          <w:szCs w:val="20"/>
        </w:rPr>
      </w:pPr>
      <w:r w:rsidRPr="004F07C1">
        <w:rPr>
          <w:szCs w:val="20"/>
        </w:rPr>
        <w:t>Considering issues related to compliance and enforcement of standards in their development.</w:t>
      </w:r>
    </w:p>
    <w:p w14:paraId="1FC47923" w14:textId="2E7DE9D2" w:rsidR="004F07C1" w:rsidRPr="004F07C1" w:rsidRDefault="004F07C1" w:rsidP="004F07C1">
      <w:pPr>
        <w:pStyle w:val="AGLBodycopy"/>
        <w:numPr>
          <w:ilvl w:val="0"/>
          <w:numId w:val="17"/>
        </w:numPr>
        <w:jc w:val="both"/>
      </w:pPr>
      <w:r w:rsidRPr="004F07C1">
        <w:rPr>
          <w:szCs w:val="20"/>
        </w:rPr>
        <w:t>Providing advice on standards and undertaking related reviews</w:t>
      </w:r>
      <w:r>
        <w:rPr>
          <w:szCs w:val="20"/>
        </w:rPr>
        <w:t>.</w:t>
      </w:r>
    </w:p>
    <w:p w14:paraId="3A2FB9D8" w14:textId="2F7FE9DE" w:rsidR="004F07C1" w:rsidRPr="004F07C1" w:rsidRDefault="004F07C1" w:rsidP="004F07C1">
      <w:pPr>
        <w:pStyle w:val="AGLBodycopy"/>
        <w:numPr>
          <w:ilvl w:val="0"/>
          <w:numId w:val="17"/>
        </w:numPr>
        <w:jc w:val="both"/>
      </w:pPr>
      <w:r w:rsidRPr="004F07C1">
        <w:rPr>
          <w:szCs w:val="20"/>
        </w:rPr>
        <w:t>Assessing distribution networks’ grid connection standards and ongoing obligations to manage voltage levels on the network to ensure transparency and alignment to support consistent consumer outcomes</w:t>
      </w:r>
      <w:r>
        <w:rPr>
          <w:szCs w:val="20"/>
        </w:rPr>
        <w:t>.</w:t>
      </w:r>
    </w:p>
    <w:p w14:paraId="0EDDCE9B" w14:textId="2B91F9E2" w:rsidR="001B2256" w:rsidRPr="001B2256" w:rsidRDefault="001B2256" w:rsidP="004F07C1">
      <w:pPr>
        <w:pStyle w:val="AGLBodycopy"/>
        <w:numPr>
          <w:ilvl w:val="0"/>
          <w:numId w:val="16"/>
        </w:numPr>
        <w:jc w:val="both"/>
        <w:rPr>
          <w:rFonts w:cstheme="minorHAnsi"/>
          <w:bCs/>
          <w:szCs w:val="20"/>
        </w:rPr>
      </w:pPr>
      <w:r>
        <w:rPr>
          <w:szCs w:val="20"/>
        </w:rPr>
        <w:t>We would recommend that the ESB’s final decision articulate how the Committee’s advisory function would interact and guide Standards Australia’s standard setting work to ensure that the two regulatory frameworks align.</w:t>
      </w:r>
    </w:p>
    <w:p w14:paraId="580FF818" w14:textId="509568AE" w:rsidR="004F07C1" w:rsidRPr="00770B28" w:rsidRDefault="004F07C1" w:rsidP="004F07C1">
      <w:pPr>
        <w:pStyle w:val="AGLBodycopy"/>
        <w:numPr>
          <w:ilvl w:val="0"/>
          <w:numId w:val="16"/>
        </w:numPr>
        <w:jc w:val="both"/>
        <w:rPr>
          <w:rFonts w:cstheme="minorHAnsi"/>
          <w:bCs/>
          <w:szCs w:val="20"/>
        </w:rPr>
      </w:pPr>
      <w:r>
        <w:rPr>
          <w:rFonts w:cstheme="minorHAnsi"/>
          <w:szCs w:val="20"/>
        </w:rPr>
        <w:t xml:space="preserve">AGL is generally supportive of the proposed </w:t>
      </w:r>
      <w:r w:rsidRPr="00770B28">
        <w:rPr>
          <w:bCs/>
          <w:szCs w:val="20"/>
        </w:rPr>
        <w:t>nature and structure of the Committee</w:t>
      </w:r>
      <w:r>
        <w:rPr>
          <w:bCs/>
          <w:szCs w:val="20"/>
        </w:rPr>
        <w:t xml:space="preserve">, provided it is intended to fulfil an advisory function. Should the ESB decide that the Committee is to fulfil a determining function, an alternative structure should be considered to ensure that the membership entails relevant expertise to deliver on that function. </w:t>
      </w:r>
    </w:p>
    <w:p w14:paraId="337FF8C0" w14:textId="5249D585" w:rsidR="00D50FB0" w:rsidRPr="00D05A24" w:rsidRDefault="00D50FB0" w:rsidP="00D05A24">
      <w:pPr>
        <w:pStyle w:val="AGLBodycopy"/>
        <w:jc w:val="both"/>
        <w:rPr>
          <w:rFonts w:cstheme="minorHAnsi"/>
          <w:b/>
          <w:bCs/>
          <w:szCs w:val="20"/>
        </w:rPr>
      </w:pPr>
      <w:r w:rsidRPr="00D05A24">
        <w:rPr>
          <w:rFonts w:cstheme="minorHAnsi"/>
          <w:szCs w:val="20"/>
        </w:rPr>
        <w:t xml:space="preserve">We elaborate our feedback in the </w:t>
      </w:r>
      <w:r w:rsidRPr="00D05A24">
        <w:rPr>
          <w:rFonts w:cstheme="minorHAnsi"/>
          <w:b/>
          <w:bCs/>
          <w:szCs w:val="20"/>
        </w:rPr>
        <w:t>Attachment.</w:t>
      </w:r>
    </w:p>
    <w:p w14:paraId="5C84FC26" w14:textId="77777777" w:rsidR="00D50FB0" w:rsidRPr="0098150B" w:rsidRDefault="00D50FB0" w:rsidP="00D50FB0">
      <w:pPr>
        <w:pStyle w:val="AGLBodycopy"/>
        <w:jc w:val="both"/>
        <w:rPr>
          <w:szCs w:val="20"/>
        </w:rPr>
      </w:pPr>
      <w:r>
        <w:rPr>
          <w:szCs w:val="20"/>
        </w:rPr>
        <w:t>S</w:t>
      </w:r>
      <w:r w:rsidRPr="0098150B">
        <w:rPr>
          <w:szCs w:val="20"/>
        </w:rPr>
        <w:t xml:space="preserve">hould you have any questions in relation to this submission, please contact Kurt Winter, Regulatory Strategy Manager, on 03 8633 7204 or </w:t>
      </w:r>
      <w:hyperlink r:id="rId12" w:history="1">
        <w:r w:rsidRPr="0098150B">
          <w:rPr>
            <w:rStyle w:val="Hyperlink"/>
            <w:szCs w:val="20"/>
          </w:rPr>
          <w:t>KWinter@agl.com.au</w:t>
        </w:r>
      </w:hyperlink>
      <w:r w:rsidRPr="0098150B">
        <w:rPr>
          <w:szCs w:val="20"/>
        </w:rPr>
        <w:t xml:space="preserve">. </w:t>
      </w:r>
    </w:p>
    <w:p w14:paraId="74CA31DE" w14:textId="77777777" w:rsidR="00D50FB0" w:rsidRDefault="00D50FB0" w:rsidP="00D50FB0">
      <w:pPr>
        <w:pStyle w:val="AGLBodycopy"/>
        <w:spacing w:before="120"/>
        <w:jc w:val="both"/>
        <w:rPr>
          <w:szCs w:val="20"/>
        </w:rPr>
      </w:pPr>
      <w:r w:rsidRPr="0098150B">
        <w:rPr>
          <w:szCs w:val="20"/>
        </w:rPr>
        <w:t>Yours sincerely</w:t>
      </w:r>
    </w:p>
    <w:p w14:paraId="251F00AC" w14:textId="77777777" w:rsidR="003839A6" w:rsidRDefault="003839A6" w:rsidP="003839A6">
      <w:pPr>
        <w:pStyle w:val="AGLBodycopy"/>
        <w:spacing w:before="120"/>
        <w:jc w:val="both"/>
        <w:rPr>
          <w:noProof/>
        </w:rPr>
      </w:pPr>
    </w:p>
    <w:p w14:paraId="0BA02B96" w14:textId="2DA81AF5" w:rsidR="00553BDB" w:rsidRDefault="003839A6" w:rsidP="003839A6">
      <w:pPr>
        <w:pStyle w:val="AGLBodycopy"/>
        <w:spacing w:before="120"/>
        <w:jc w:val="both"/>
        <w:rPr>
          <w:szCs w:val="20"/>
        </w:rPr>
      </w:pPr>
      <w:r>
        <w:rPr>
          <w:noProof/>
        </w:rPr>
        <w:t>-signed-</w:t>
      </w:r>
    </w:p>
    <w:p w14:paraId="3B8284DC" w14:textId="77777777" w:rsidR="003839A6" w:rsidRDefault="003839A6" w:rsidP="00D50FB0">
      <w:pPr>
        <w:pStyle w:val="AGLBodycopy"/>
        <w:spacing w:before="120"/>
        <w:jc w:val="both"/>
        <w:rPr>
          <w:szCs w:val="20"/>
        </w:rPr>
      </w:pPr>
    </w:p>
    <w:p w14:paraId="5D55B428" w14:textId="4BB00A28" w:rsidR="00D50FB0" w:rsidRPr="0098150B" w:rsidRDefault="00D50FB0" w:rsidP="00D50FB0">
      <w:pPr>
        <w:pStyle w:val="AGLBodycopy"/>
        <w:spacing w:before="120"/>
        <w:jc w:val="both"/>
        <w:rPr>
          <w:szCs w:val="20"/>
        </w:rPr>
      </w:pPr>
      <w:r w:rsidRPr="0098150B">
        <w:rPr>
          <w:szCs w:val="20"/>
        </w:rPr>
        <w:t>Con Hristodoulidis</w:t>
      </w:r>
    </w:p>
    <w:p w14:paraId="3BED40CB" w14:textId="1A3DF8D2" w:rsidR="00D50FB0" w:rsidRDefault="00D50FB0" w:rsidP="00D50FB0">
      <w:pPr>
        <w:pStyle w:val="AGLBodycopy"/>
        <w:jc w:val="both"/>
        <w:rPr>
          <w:b/>
          <w:szCs w:val="20"/>
        </w:rPr>
      </w:pPr>
      <w:r>
        <w:rPr>
          <w:b/>
          <w:szCs w:val="20"/>
        </w:rPr>
        <w:t>Senior Manager, Regulatory Strategy</w:t>
      </w:r>
    </w:p>
    <w:p w14:paraId="567F4FAD" w14:textId="58749A35" w:rsidR="0079049C" w:rsidRDefault="0079049C" w:rsidP="00D50FB0">
      <w:pPr>
        <w:pStyle w:val="AGLBodycopy"/>
        <w:jc w:val="both"/>
        <w:rPr>
          <w:b/>
          <w:szCs w:val="20"/>
        </w:rPr>
      </w:pPr>
    </w:p>
    <w:p w14:paraId="0C4CBD9F" w14:textId="627CB8A7" w:rsidR="00384102" w:rsidRDefault="00384102" w:rsidP="00D50FB0">
      <w:pPr>
        <w:pStyle w:val="AGLBodycopy"/>
        <w:jc w:val="both"/>
        <w:rPr>
          <w:b/>
          <w:szCs w:val="20"/>
        </w:rPr>
      </w:pPr>
    </w:p>
    <w:p w14:paraId="65C4D8CD" w14:textId="4BBE0D29" w:rsidR="004F07C1" w:rsidRDefault="004F07C1" w:rsidP="00D50FB0">
      <w:pPr>
        <w:pStyle w:val="AGLBodycopy"/>
        <w:jc w:val="both"/>
        <w:rPr>
          <w:b/>
          <w:szCs w:val="20"/>
        </w:rPr>
      </w:pPr>
    </w:p>
    <w:p w14:paraId="550BABD2" w14:textId="3BCB6D88" w:rsidR="004F07C1" w:rsidRDefault="004F07C1" w:rsidP="00D50FB0">
      <w:pPr>
        <w:pStyle w:val="AGLBodycopy"/>
        <w:jc w:val="both"/>
        <w:rPr>
          <w:b/>
          <w:szCs w:val="20"/>
        </w:rPr>
      </w:pPr>
    </w:p>
    <w:p w14:paraId="0635D6DF" w14:textId="5A80E208" w:rsidR="004F07C1" w:rsidRDefault="004F07C1" w:rsidP="00D50FB0">
      <w:pPr>
        <w:pStyle w:val="AGLBodycopy"/>
        <w:jc w:val="both"/>
        <w:rPr>
          <w:b/>
          <w:szCs w:val="20"/>
        </w:rPr>
      </w:pPr>
    </w:p>
    <w:p w14:paraId="0C976581" w14:textId="28925D89" w:rsidR="00A13572" w:rsidRDefault="00FA69D9" w:rsidP="00A13572">
      <w:pPr>
        <w:pStyle w:val="AGLBodycopy"/>
        <w:jc w:val="center"/>
        <w:rPr>
          <w:b/>
          <w:szCs w:val="20"/>
        </w:rPr>
      </w:pPr>
      <w:r>
        <w:rPr>
          <w:b/>
          <w:szCs w:val="20"/>
        </w:rPr>
        <w:lastRenderedPageBreak/>
        <w:t>A</w:t>
      </w:r>
      <w:r w:rsidR="00A13572">
        <w:rPr>
          <w:b/>
          <w:szCs w:val="20"/>
        </w:rPr>
        <w:t>TTACHMENT</w:t>
      </w:r>
    </w:p>
    <w:p w14:paraId="60ED7ECC" w14:textId="69BF09D1" w:rsidR="005F45C1" w:rsidRDefault="005F45C1" w:rsidP="00C11CC1">
      <w:pPr>
        <w:pStyle w:val="AGLBodycopy"/>
        <w:jc w:val="both"/>
        <w:rPr>
          <w:b/>
          <w:szCs w:val="20"/>
        </w:rPr>
      </w:pPr>
      <w:r>
        <w:rPr>
          <w:b/>
          <w:szCs w:val="20"/>
        </w:rPr>
        <w:t>Legal framework for a new coordinating governance structure</w:t>
      </w:r>
      <w:bookmarkStart w:id="1" w:name="_GoBack"/>
      <w:bookmarkEnd w:id="1"/>
    </w:p>
    <w:p w14:paraId="0A611934" w14:textId="77777777" w:rsidR="005F45C1" w:rsidRPr="005F45C1" w:rsidRDefault="005F45C1" w:rsidP="00C11CC1">
      <w:pPr>
        <w:pStyle w:val="AGLBodycopy"/>
        <w:jc w:val="both"/>
        <w:rPr>
          <w:i/>
          <w:iCs/>
          <w:szCs w:val="20"/>
        </w:rPr>
      </w:pPr>
      <w:r w:rsidRPr="005F45C1">
        <w:rPr>
          <w:i/>
          <w:iCs/>
          <w:szCs w:val="20"/>
        </w:rPr>
        <w:t xml:space="preserve">Q1. Do you support the proposal to establish a DER Standards Governance Committee under the National Electricity Rules? If not, what alternative would you suggest? </w:t>
      </w:r>
    </w:p>
    <w:p w14:paraId="69B97A92" w14:textId="24A50FF5" w:rsidR="00745944" w:rsidRDefault="00C11CC1" w:rsidP="00DC1EFF">
      <w:pPr>
        <w:pStyle w:val="AGLBodycopy"/>
        <w:jc w:val="both"/>
        <w:rPr>
          <w:szCs w:val="20"/>
        </w:rPr>
      </w:pPr>
      <w:r>
        <w:rPr>
          <w:szCs w:val="20"/>
        </w:rPr>
        <w:t xml:space="preserve">AGL supports the proposal to establish </w:t>
      </w:r>
      <w:r w:rsidR="00485419">
        <w:rPr>
          <w:szCs w:val="20"/>
        </w:rPr>
        <w:t xml:space="preserve">the Committee </w:t>
      </w:r>
      <w:r>
        <w:rPr>
          <w:szCs w:val="20"/>
        </w:rPr>
        <w:t>under the National Electricity Rules</w:t>
      </w:r>
      <w:r w:rsidR="00E813A1">
        <w:rPr>
          <w:szCs w:val="20"/>
        </w:rPr>
        <w:t xml:space="preserve"> (</w:t>
      </w:r>
      <w:r w:rsidR="00E813A1" w:rsidRPr="00E813A1">
        <w:rPr>
          <w:b/>
          <w:bCs/>
          <w:szCs w:val="20"/>
        </w:rPr>
        <w:t>NER</w:t>
      </w:r>
      <w:r w:rsidR="00E813A1">
        <w:rPr>
          <w:szCs w:val="20"/>
        </w:rPr>
        <w:t>)</w:t>
      </w:r>
      <w:r>
        <w:rPr>
          <w:szCs w:val="20"/>
        </w:rPr>
        <w:t>, provided its function</w:t>
      </w:r>
      <w:r w:rsidR="00E43C99">
        <w:rPr>
          <w:szCs w:val="20"/>
        </w:rPr>
        <w:t>s</w:t>
      </w:r>
      <w:r w:rsidR="00E813A1">
        <w:rPr>
          <w:szCs w:val="20"/>
        </w:rPr>
        <w:t xml:space="preserve"> and powers</w:t>
      </w:r>
      <w:r>
        <w:rPr>
          <w:szCs w:val="20"/>
        </w:rPr>
        <w:t xml:space="preserve"> complement and </w:t>
      </w:r>
      <w:r w:rsidR="00E43C99">
        <w:rPr>
          <w:szCs w:val="20"/>
        </w:rPr>
        <w:t>enhance</w:t>
      </w:r>
      <w:r>
        <w:rPr>
          <w:szCs w:val="20"/>
        </w:rPr>
        <w:t xml:space="preserve"> the current standards making process and do not introduce additional complexity or duplication</w:t>
      </w:r>
      <w:r w:rsidR="00E813A1">
        <w:rPr>
          <w:szCs w:val="20"/>
        </w:rPr>
        <w:t>.</w:t>
      </w:r>
      <w:r w:rsidR="00D81358">
        <w:rPr>
          <w:szCs w:val="20"/>
        </w:rPr>
        <w:t xml:space="preserve"> </w:t>
      </w:r>
    </w:p>
    <w:p w14:paraId="4D18BB41" w14:textId="77777777" w:rsidR="004F07C1" w:rsidRDefault="004F07C1" w:rsidP="004F07C1">
      <w:pPr>
        <w:pStyle w:val="AGLBodycopy"/>
        <w:jc w:val="both"/>
      </w:pPr>
      <w:r>
        <w:t>In summary, our preferred approach is:</w:t>
      </w:r>
    </w:p>
    <w:p w14:paraId="48D47A3D" w14:textId="77777777" w:rsidR="004F07C1" w:rsidRDefault="004F07C1" w:rsidP="004F07C1">
      <w:pPr>
        <w:pStyle w:val="AGLBodycopy"/>
        <w:numPr>
          <w:ilvl w:val="0"/>
          <w:numId w:val="18"/>
        </w:numPr>
        <w:jc w:val="both"/>
      </w:pPr>
      <w:r>
        <w:t>A Committee that provides advisory functions</w:t>
      </w:r>
    </w:p>
    <w:p w14:paraId="1A6256E5" w14:textId="77777777" w:rsidR="004F07C1" w:rsidRDefault="004F07C1" w:rsidP="004F07C1">
      <w:pPr>
        <w:pStyle w:val="AGLBodycopy"/>
        <w:numPr>
          <w:ilvl w:val="0"/>
          <w:numId w:val="18"/>
        </w:numPr>
        <w:jc w:val="both"/>
      </w:pPr>
      <w:r>
        <w:t>Standards Australia to continue to set DER technical standards.</w:t>
      </w:r>
    </w:p>
    <w:p w14:paraId="669B7AC8" w14:textId="51E265F0" w:rsidR="00C11CC1" w:rsidRDefault="00C11CC1" w:rsidP="00DC1EFF">
      <w:pPr>
        <w:pStyle w:val="AGLBodycopy"/>
        <w:jc w:val="both"/>
      </w:pPr>
      <w:r w:rsidRPr="005F4563">
        <w:t xml:space="preserve">AGL believes </w:t>
      </w:r>
      <w:r w:rsidR="0090352E">
        <w:t xml:space="preserve">that </w:t>
      </w:r>
      <w:r w:rsidRPr="005F4563">
        <w:t>Standards Australia as an independent body</w:t>
      </w:r>
      <w:r>
        <w:t xml:space="preserve"> skilled in standards setting</w:t>
      </w:r>
      <w:r w:rsidRPr="005F4563">
        <w:t xml:space="preserve">, is best placed to develop and adopt technical standards that reflect international best practice through </w:t>
      </w:r>
      <w:r>
        <w:t>broad</w:t>
      </w:r>
      <w:r w:rsidRPr="005F4563">
        <w:t xml:space="preserve"> stakeholder engagement and with the support of relevant industry expertise. </w:t>
      </w:r>
    </w:p>
    <w:p w14:paraId="22BA0477" w14:textId="77777777" w:rsidR="00D81358" w:rsidRDefault="0090352E" w:rsidP="00DC1EFF">
      <w:pPr>
        <w:pStyle w:val="AGLBodycopy"/>
        <w:jc w:val="both"/>
      </w:pPr>
      <w:r>
        <w:t xml:space="preserve">Nevertheless, as we observed in our response to the </w:t>
      </w:r>
      <w:proofErr w:type="spellStart"/>
      <w:r w:rsidR="00E43C99">
        <w:t>Sapere</w:t>
      </w:r>
      <w:proofErr w:type="spellEnd"/>
      <w:r w:rsidR="00E43C99">
        <w:t>/</w:t>
      </w:r>
      <w:proofErr w:type="spellStart"/>
      <w:r w:rsidR="00E43C99">
        <w:t>CutlerMerz</w:t>
      </w:r>
      <w:proofErr w:type="spellEnd"/>
      <w:r>
        <w:t xml:space="preserve"> review of existing and potential governance arrangements for DER technical standards and to Standards Australia’s own governance review in 2017, AGL </w:t>
      </w:r>
      <w:r w:rsidR="00C11CC1">
        <w:t xml:space="preserve">support improvements to the technical standards governance arrangements to ensure </w:t>
      </w:r>
      <w:r>
        <w:t>standards development</w:t>
      </w:r>
      <w:r w:rsidR="00C11CC1">
        <w:t xml:space="preserve"> remain</w:t>
      </w:r>
      <w:r>
        <w:t>s</w:t>
      </w:r>
      <w:r w:rsidR="00C11CC1">
        <w:t xml:space="preserve"> technical, customer-focused and evidence-based.</w:t>
      </w:r>
      <w:r w:rsidR="00D81358">
        <w:t xml:space="preserve"> </w:t>
      </w:r>
    </w:p>
    <w:p w14:paraId="7B7E5B9B" w14:textId="40C1FFCD" w:rsidR="0090352E" w:rsidRDefault="00E43C99" w:rsidP="00DC1EFF">
      <w:pPr>
        <w:pStyle w:val="AGLBodycopy"/>
        <w:jc w:val="both"/>
      </w:pPr>
      <w:r>
        <w:t xml:space="preserve">We agree with the critical gaps and weaknesses identified by </w:t>
      </w:r>
      <w:proofErr w:type="spellStart"/>
      <w:r>
        <w:t>Sapere</w:t>
      </w:r>
      <w:proofErr w:type="spellEnd"/>
      <w:r>
        <w:t>/</w:t>
      </w:r>
      <w:proofErr w:type="spellStart"/>
      <w:r>
        <w:t>CutlerMerz</w:t>
      </w:r>
      <w:proofErr w:type="spellEnd"/>
      <w:r>
        <w:t xml:space="preserve"> in the current governance system and support the development of a new coordinating structure and processes as proposed to address these concerns. We consider this is a preferable approach to large scale overhaul of governance of DER standards which could entail substantial risks to Australia’s technical standards development processes. </w:t>
      </w:r>
    </w:p>
    <w:p w14:paraId="524CA0E9" w14:textId="21CB605A" w:rsidR="00E813A1" w:rsidRDefault="00E813A1" w:rsidP="00DC1EFF">
      <w:pPr>
        <w:pStyle w:val="AGLBodycopy"/>
        <w:jc w:val="both"/>
        <w:rPr>
          <w:szCs w:val="20"/>
        </w:rPr>
      </w:pPr>
      <w:r>
        <w:rPr>
          <w:szCs w:val="20"/>
        </w:rPr>
        <w:t>We agree that the Committee should be convened under the Australian Energy Market Commission (</w:t>
      </w:r>
      <w:r w:rsidRPr="00E813A1">
        <w:rPr>
          <w:b/>
          <w:bCs/>
          <w:szCs w:val="20"/>
        </w:rPr>
        <w:t>AEMC</w:t>
      </w:r>
      <w:r>
        <w:rPr>
          <w:szCs w:val="20"/>
        </w:rPr>
        <w:t>) with the National Electricity Law (</w:t>
      </w:r>
      <w:r w:rsidRPr="00E813A1">
        <w:rPr>
          <w:b/>
          <w:bCs/>
          <w:szCs w:val="20"/>
        </w:rPr>
        <w:t>NEL</w:t>
      </w:r>
      <w:r>
        <w:rPr>
          <w:szCs w:val="20"/>
        </w:rPr>
        <w:t xml:space="preserve">), with specific Rules provided in NER to allow for its appointment, operations and functions to be prescribed and its powers set out. We consider that convening the Committee under the AEMC would provide a greater level of independence in the Committee’s function. We also consider that prescribing its functions and powers in the NER would ensure its effective operation in complementing and enhancing the current standards making process, guarding against any duplication. </w:t>
      </w:r>
    </w:p>
    <w:p w14:paraId="13D2AF39" w14:textId="2A7F50F7" w:rsidR="005F45C1" w:rsidRDefault="005F45C1" w:rsidP="00C11CC1">
      <w:pPr>
        <w:pStyle w:val="AGLBodycopy"/>
        <w:jc w:val="both"/>
        <w:rPr>
          <w:i/>
          <w:iCs/>
          <w:szCs w:val="20"/>
        </w:rPr>
      </w:pPr>
      <w:r w:rsidRPr="005F45C1">
        <w:rPr>
          <w:i/>
          <w:iCs/>
          <w:szCs w:val="20"/>
        </w:rPr>
        <w:t xml:space="preserve">Q2. Do you support the DER Standards Governance Committee being advisory or be determining? Please provide reasons. </w:t>
      </w:r>
    </w:p>
    <w:p w14:paraId="66688B7D" w14:textId="1BAEEE56" w:rsidR="00DC1EFF" w:rsidRDefault="00C11CC1" w:rsidP="00C11CC1">
      <w:pPr>
        <w:pStyle w:val="AGLBodycopy"/>
        <w:jc w:val="both"/>
        <w:rPr>
          <w:szCs w:val="20"/>
        </w:rPr>
      </w:pPr>
      <w:r>
        <w:rPr>
          <w:szCs w:val="20"/>
        </w:rPr>
        <w:t>AGL supports the Committee being advisory</w:t>
      </w:r>
      <w:r w:rsidR="00E43C99">
        <w:rPr>
          <w:szCs w:val="20"/>
        </w:rPr>
        <w:t xml:space="preserve"> rather than determining</w:t>
      </w:r>
      <w:r w:rsidR="00DC1EFF">
        <w:rPr>
          <w:szCs w:val="20"/>
        </w:rPr>
        <w:t xml:space="preserve"> for the following reasons:</w:t>
      </w:r>
    </w:p>
    <w:p w14:paraId="5E8291C5" w14:textId="77777777" w:rsidR="00BD013A" w:rsidRPr="00816BA6" w:rsidRDefault="00BD013A" w:rsidP="00BD013A">
      <w:pPr>
        <w:pStyle w:val="AGLBodycopy"/>
        <w:numPr>
          <w:ilvl w:val="0"/>
          <w:numId w:val="12"/>
        </w:numPr>
        <w:jc w:val="both"/>
        <w:rPr>
          <w:szCs w:val="20"/>
        </w:rPr>
      </w:pPr>
      <w:r>
        <w:rPr>
          <w:szCs w:val="20"/>
        </w:rPr>
        <w:t xml:space="preserve">The Committee’s function should complement and enhance the functions of existing standards bodies, particularly Standards Australia. It should not duplicate those existing functions, thereby creating additional complexity and undermining the policy intent for DER technical standards </w:t>
      </w:r>
      <w:r>
        <w:t xml:space="preserve">to support the use and optimisation of DER across Australia’s energy markets. </w:t>
      </w:r>
    </w:p>
    <w:p w14:paraId="73BF11C6" w14:textId="521F1B3E" w:rsidR="00BD013A" w:rsidRDefault="00816BA6" w:rsidP="00BD013A">
      <w:pPr>
        <w:pStyle w:val="AGLBodycopy"/>
        <w:numPr>
          <w:ilvl w:val="0"/>
          <w:numId w:val="12"/>
        </w:numPr>
        <w:jc w:val="both"/>
        <w:rPr>
          <w:szCs w:val="20"/>
        </w:rPr>
      </w:pPr>
      <w:r w:rsidRPr="00BD013A">
        <w:rPr>
          <w:rFonts w:cstheme="minorHAnsi"/>
          <w:szCs w:val="20"/>
        </w:rPr>
        <w:t>Standards Australia has an established role, as</w:t>
      </w:r>
      <w:r w:rsidRPr="005F4563">
        <w:t xml:space="preserve"> independent body </w:t>
      </w:r>
      <w:r>
        <w:t>that is</w:t>
      </w:r>
      <w:r w:rsidRPr="005F4563">
        <w:t xml:space="preserve"> best placed to develop and </w:t>
      </w:r>
      <w:r w:rsidR="00C6460E">
        <w:t>determine</w:t>
      </w:r>
      <w:r w:rsidRPr="005F4563">
        <w:t xml:space="preserve"> technical standards </w:t>
      </w:r>
      <w:r>
        <w:t>r</w:t>
      </w:r>
      <w:r w:rsidRPr="005F4563">
        <w:t>eflect</w:t>
      </w:r>
      <w:r>
        <w:t>ing</w:t>
      </w:r>
      <w:r w:rsidRPr="005F4563">
        <w:t xml:space="preserve"> international best practice through </w:t>
      </w:r>
      <w:r>
        <w:t>broad</w:t>
      </w:r>
      <w:r w:rsidRPr="005F4563">
        <w:t xml:space="preserve"> stakeholder engagement with the support of relevant industry </w:t>
      </w:r>
      <w:r>
        <w:t xml:space="preserve">expertise. </w:t>
      </w:r>
    </w:p>
    <w:p w14:paraId="32AADFAC" w14:textId="55DECE53" w:rsidR="00A0241B" w:rsidRDefault="00BD013A" w:rsidP="0092066C">
      <w:pPr>
        <w:pStyle w:val="AGLBodycopy"/>
        <w:numPr>
          <w:ilvl w:val="0"/>
          <w:numId w:val="12"/>
        </w:numPr>
        <w:jc w:val="both"/>
        <w:rPr>
          <w:szCs w:val="20"/>
        </w:rPr>
      </w:pPr>
      <w:r w:rsidRPr="00BD013A">
        <w:rPr>
          <w:szCs w:val="20"/>
        </w:rPr>
        <w:lastRenderedPageBreak/>
        <w:t xml:space="preserve">Determining DER technical standards entails a range of </w:t>
      </w:r>
      <w:r>
        <w:t xml:space="preserve">customer market considerations that are best determined upon by a body that is independent of the energy market system. </w:t>
      </w:r>
      <w:r w:rsidR="009D54C5" w:rsidRPr="00BD013A">
        <w:rPr>
          <w:szCs w:val="20"/>
        </w:rPr>
        <w:t>While we appreciate the Reliability Panel</w:t>
      </w:r>
      <w:r w:rsidR="004D2C4E" w:rsidRPr="00BD013A">
        <w:rPr>
          <w:szCs w:val="20"/>
        </w:rPr>
        <w:t xml:space="preserve"> analogy</w:t>
      </w:r>
      <w:r w:rsidR="00C6460E" w:rsidRPr="00BD013A">
        <w:rPr>
          <w:szCs w:val="20"/>
        </w:rPr>
        <w:t xml:space="preserve"> given that DER will increasingly influence system security and reliability</w:t>
      </w:r>
      <w:r w:rsidR="009D54C5" w:rsidRPr="00BD013A">
        <w:rPr>
          <w:szCs w:val="20"/>
        </w:rPr>
        <w:t>,</w:t>
      </w:r>
      <w:r w:rsidR="00745944">
        <w:rPr>
          <w:szCs w:val="20"/>
        </w:rPr>
        <w:t xml:space="preserve"> </w:t>
      </w:r>
      <w:r w:rsidR="009D54C5" w:rsidRPr="00BD013A">
        <w:rPr>
          <w:szCs w:val="20"/>
        </w:rPr>
        <w:t xml:space="preserve">determining appropriate </w:t>
      </w:r>
      <w:r w:rsidR="00745944">
        <w:rPr>
          <w:szCs w:val="20"/>
        </w:rPr>
        <w:t xml:space="preserve">DER </w:t>
      </w:r>
      <w:r w:rsidR="009D54C5" w:rsidRPr="00BD013A">
        <w:rPr>
          <w:szCs w:val="20"/>
        </w:rPr>
        <w:t xml:space="preserve">standards </w:t>
      </w:r>
      <w:r w:rsidR="00C6460E" w:rsidRPr="00BD013A">
        <w:rPr>
          <w:szCs w:val="20"/>
        </w:rPr>
        <w:t xml:space="preserve">also </w:t>
      </w:r>
      <w:r w:rsidR="009D54C5" w:rsidRPr="00BD013A">
        <w:rPr>
          <w:szCs w:val="20"/>
        </w:rPr>
        <w:t xml:space="preserve">entails a range of </w:t>
      </w:r>
      <w:r w:rsidR="004D2C4E" w:rsidRPr="00BD013A">
        <w:rPr>
          <w:szCs w:val="20"/>
        </w:rPr>
        <w:t xml:space="preserve">customer market </w:t>
      </w:r>
      <w:r w:rsidR="009D54C5" w:rsidRPr="00BD013A">
        <w:rPr>
          <w:szCs w:val="20"/>
        </w:rPr>
        <w:t>considerations</w:t>
      </w:r>
      <w:r w:rsidR="00A0241B">
        <w:rPr>
          <w:szCs w:val="20"/>
        </w:rPr>
        <w:t xml:space="preserve">, including that: </w:t>
      </w:r>
    </w:p>
    <w:p w14:paraId="08832E81" w14:textId="2B9BBC64" w:rsidR="00A0241B" w:rsidRPr="00A0241B" w:rsidRDefault="00A0241B" w:rsidP="00A0241B">
      <w:pPr>
        <w:pStyle w:val="AGLBodycopy"/>
        <w:numPr>
          <w:ilvl w:val="1"/>
          <w:numId w:val="12"/>
        </w:numPr>
        <w:jc w:val="both"/>
        <w:rPr>
          <w:szCs w:val="20"/>
        </w:rPr>
      </w:pPr>
      <w:r>
        <w:t>Technical standards governing DER need to empower consumers with choice as to how they use their DER assets</w:t>
      </w:r>
      <w:r>
        <w:rPr>
          <w:szCs w:val="20"/>
        </w:rPr>
        <w:t>, g</w:t>
      </w:r>
      <w:r w:rsidR="004D2C4E" w:rsidRPr="00BD013A">
        <w:rPr>
          <w:szCs w:val="20"/>
        </w:rPr>
        <w:t>iven that the customer benefits associated with DER investment will not always be associated with grid interactions</w:t>
      </w:r>
      <w:r w:rsidR="004D2C4E">
        <w:t xml:space="preserve">. </w:t>
      </w:r>
    </w:p>
    <w:p w14:paraId="4D0611EC" w14:textId="4C01727D" w:rsidR="0092066C" w:rsidRDefault="004D2C4E" w:rsidP="00A0241B">
      <w:pPr>
        <w:pStyle w:val="AGLBodycopy"/>
        <w:numPr>
          <w:ilvl w:val="1"/>
          <w:numId w:val="12"/>
        </w:numPr>
        <w:jc w:val="both"/>
        <w:rPr>
          <w:szCs w:val="20"/>
        </w:rPr>
      </w:pPr>
      <w:r>
        <w:t>The international commodity market for DER requires</w:t>
      </w:r>
      <w:r w:rsidR="00C6460E">
        <w:t xml:space="preserve"> that Australian Standards</w:t>
      </w:r>
      <w:r>
        <w:t xml:space="preserve"> align with international standards to enable as wide a range of innovative products and services as possible into the Australian market at least cost to consumers.</w:t>
      </w:r>
      <w:r w:rsidR="00C6460E">
        <w:t xml:space="preserve"> </w:t>
      </w:r>
    </w:p>
    <w:p w14:paraId="2279002B" w14:textId="5DB8A046" w:rsidR="00A0241B" w:rsidRPr="00011A5C" w:rsidRDefault="00BD013A" w:rsidP="004F07C1">
      <w:pPr>
        <w:pStyle w:val="AGLBodycopy"/>
        <w:jc w:val="both"/>
        <w:rPr>
          <w:szCs w:val="20"/>
        </w:rPr>
      </w:pPr>
      <w:r w:rsidRPr="0092066C">
        <w:rPr>
          <w:szCs w:val="20"/>
        </w:rPr>
        <w:t xml:space="preserve">Establishing the Committee as a determining body </w:t>
      </w:r>
      <w:r w:rsidR="0092066C" w:rsidRPr="0092066C">
        <w:rPr>
          <w:szCs w:val="20"/>
        </w:rPr>
        <w:t>could lead to shortcoming</w:t>
      </w:r>
      <w:r w:rsidR="0092066C">
        <w:rPr>
          <w:szCs w:val="20"/>
        </w:rPr>
        <w:t>s in</w:t>
      </w:r>
      <w:r w:rsidR="0092066C" w:rsidRPr="0092066C">
        <w:rPr>
          <w:szCs w:val="20"/>
        </w:rPr>
        <w:t xml:space="preserve"> the compliance regime associated with technical standards</w:t>
      </w:r>
      <w:r w:rsidRPr="0092066C">
        <w:rPr>
          <w:rFonts w:cstheme="minorHAnsi"/>
          <w:szCs w:val="20"/>
        </w:rPr>
        <w:t xml:space="preserve">, given the current incorporation of technical standards </w:t>
      </w:r>
      <w:r w:rsidR="0092066C">
        <w:rPr>
          <w:rFonts w:cstheme="minorHAnsi"/>
          <w:szCs w:val="20"/>
        </w:rPr>
        <w:t>through</w:t>
      </w:r>
      <w:r w:rsidRPr="0092066C">
        <w:rPr>
          <w:rFonts w:cstheme="minorHAnsi"/>
          <w:szCs w:val="20"/>
        </w:rPr>
        <w:t xml:space="preserve"> </w:t>
      </w:r>
      <w:r w:rsidR="00140880">
        <w:rPr>
          <w:rFonts w:cstheme="minorHAnsi"/>
          <w:szCs w:val="20"/>
        </w:rPr>
        <w:t xml:space="preserve">           </w:t>
      </w:r>
      <w:r w:rsidRPr="0092066C">
        <w:rPr>
          <w:rFonts w:cstheme="minorHAnsi"/>
          <w:szCs w:val="20"/>
        </w:rPr>
        <w:t>state-based legislative and safety requirements</w:t>
      </w:r>
      <w:r w:rsidR="0092066C" w:rsidRPr="0092066C">
        <w:rPr>
          <w:rFonts w:cstheme="minorHAnsi"/>
          <w:szCs w:val="20"/>
        </w:rPr>
        <w:t xml:space="preserve">. </w:t>
      </w:r>
      <w:r w:rsidR="0092066C" w:rsidRPr="00011A5C">
        <w:rPr>
          <w:rFonts w:cstheme="minorHAnsi"/>
          <w:szCs w:val="20"/>
        </w:rPr>
        <w:t xml:space="preserve">By way of example, we understand that </w:t>
      </w:r>
      <w:r w:rsidR="0092066C" w:rsidRPr="00011A5C">
        <w:rPr>
          <w:lang w:val="en-AU"/>
        </w:rPr>
        <w:t xml:space="preserve">state-based legislative and safety requirements incorporating AS/NZS3000 enable </w:t>
      </w:r>
      <w:r w:rsidR="004F07C1">
        <w:rPr>
          <w:lang w:val="en-AU"/>
        </w:rPr>
        <w:t xml:space="preserve">state </w:t>
      </w:r>
      <w:r w:rsidR="0092066C" w:rsidRPr="00011A5C">
        <w:rPr>
          <w:lang w:val="en-AU"/>
        </w:rPr>
        <w:t xml:space="preserve">regulator to prosecute workers for not achieving minimum wiring </w:t>
      </w:r>
      <w:r w:rsidR="00A0241B" w:rsidRPr="00011A5C">
        <w:rPr>
          <w:lang w:val="en-AU"/>
        </w:rPr>
        <w:t xml:space="preserve">safety </w:t>
      </w:r>
      <w:r w:rsidR="0092066C" w:rsidRPr="00011A5C">
        <w:rPr>
          <w:lang w:val="en-AU"/>
        </w:rPr>
        <w:t xml:space="preserve">requirements. </w:t>
      </w:r>
      <w:r w:rsidR="00745944" w:rsidRPr="00011A5C">
        <w:rPr>
          <w:lang w:val="en-AU"/>
        </w:rPr>
        <w:t>Determining technical standards outside of this regulatory framework would potentially rely upon enforcement through networks connection agreements, placing the compliance burden on networks businesses and electricity retailers</w:t>
      </w:r>
      <w:r w:rsidR="00A0241B" w:rsidRPr="00011A5C">
        <w:rPr>
          <w:lang w:val="en-AU"/>
        </w:rPr>
        <w:t xml:space="preserve"> who may not have direct carriage of installations</w:t>
      </w:r>
      <w:r w:rsidR="00745944" w:rsidRPr="00011A5C">
        <w:rPr>
          <w:lang w:val="en-AU"/>
        </w:rPr>
        <w:t>.</w:t>
      </w:r>
      <w:r w:rsidR="00011A5C">
        <w:rPr>
          <w:lang w:val="en-AU"/>
        </w:rPr>
        <w:t xml:space="preserve"> </w:t>
      </w:r>
      <w:r w:rsidR="00745944" w:rsidRPr="00011A5C">
        <w:rPr>
          <w:szCs w:val="20"/>
        </w:rPr>
        <w:t>Given the policy intent to improve compliance, we recommend a preferable approach would be t</w:t>
      </w:r>
      <w:r w:rsidR="00745944" w:rsidRPr="00011A5C">
        <w:rPr>
          <w:lang w:val="en-AU"/>
        </w:rPr>
        <w:t xml:space="preserve">o </w:t>
      </w:r>
      <w:r w:rsidR="00745944" w:rsidRPr="00011A5C">
        <w:rPr>
          <w:szCs w:val="20"/>
        </w:rPr>
        <w:t>leverage the existing compliance framework</w:t>
      </w:r>
      <w:r w:rsidR="00A0241B" w:rsidRPr="00011A5C">
        <w:rPr>
          <w:szCs w:val="20"/>
        </w:rPr>
        <w:t xml:space="preserve"> through state-based instruments. </w:t>
      </w:r>
    </w:p>
    <w:p w14:paraId="25E4B910" w14:textId="77777777" w:rsidR="00485419" w:rsidRDefault="00485419" w:rsidP="00C11CC1">
      <w:pPr>
        <w:pStyle w:val="AGLBodycopy"/>
        <w:jc w:val="both"/>
        <w:rPr>
          <w:b/>
          <w:szCs w:val="20"/>
        </w:rPr>
      </w:pPr>
    </w:p>
    <w:p w14:paraId="3E45A7C1" w14:textId="6B61E6EB" w:rsidR="005F45C1" w:rsidRDefault="005F45C1" w:rsidP="00C11CC1">
      <w:pPr>
        <w:pStyle w:val="AGLBodycopy"/>
        <w:jc w:val="both"/>
        <w:rPr>
          <w:b/>
          <w:szCs w:val="20"/>
        </w:rPr>
      </w:pPr>
      <w:r>
        <w:rPr>
          <w:b/>
          <w:szCs w:val="20"/>
        </w:rPr>
        <w:t>Functions of the DER Standards Governance Committee</w:t>
      </w:r>
    </w:p>
    <w:p w14:paraId="45E600F2" w14:textId="247AB496" w:rsidR="005F45C1" w:rsidRDefault="005F45C1" w:rsidP="00C11CC1">
      <w:pPr>
        <w:pStyle w:val="AGLBodycopy"/>
        <w:jc w:val="both"/>
        <w:rPr>
          <w:i/>
          <w:iCs/>
          <w:szCs w:val="20"/>
        </w:rPr>
      </w:pPr>
      <w:r w:rsidRPr="005F45C1">
        <w:rPr>
          <w:i/>
          <w:iCs/>
          <w:szCs w:val="20"/>
        </w:rPr>
        <w:t xml:space="preserve">Q3. Do you have any feedback on the proposed functions of the DER Standards Governance Committee? </w:t>
      </w:r>
    </w:p>
    <w:p w14:paraId="27309B07" w14:textId="77777777" w:rsidR="00A0241B" w:rsidRDefault="00A0241B" w:rsidP="00A0241B">
      <w:pPr>
        <w:pStyle w:val="AGLBodycopy"/>
        <w:jc w:val="both"/>
        <w:rPr>
          <w:szCs w:val="20"/>
        </w:rPr>
      </w:pPr>
      <w:r>
        <w:rPr>
          <w:szCs w:val="20"/>
        </w:rPr>
        <w:t xml:space="preserve">We believe the Committee should be responsible for: </w:t>
      </w:r>
    </w:p>
    <w:p w14:paraId="0EB81F35" w14:textId="77777777" w:rsidR="00A0241B" w:rsidRDefault="00A0241B" w:rsidP="00A0241B">
      <w:pPr>
        <w:pStyle w:val="AGLBodycopy"/>
        <w:numPr>
          <w:ilvl w:val="0"/>
          <w:numId w:val="10"/>
        </w:numPr>
        <w:jc w:val="both"/>
        <w:rPr>
          <w:szCs w:val="20"/>
        </w:rPr>
      </w:pPr>
      <w:r>
        <w:rPr>
          <w:szCs w:val="20"/>
        </w:rPr>
        <w:t>Setting a strategic direction with respect to DER technical standards.</w:t>
      </w:r>
    </w:p>
    <w:p w14:paraId="4891E88E" w14:textId="77777777" w:rsidR="00A0241B" w:rsidRPr="00DC1EFF" w:rsidRDefault="00A0241B" w:rsidP="00A0241B">
      <w:pPr>
        <w:pStyle w:val="AGLBodycopy"/>
        <w:numPr>
          <w:ilvl w:val="0"/>
          <w:numId w:val="10"/>
        </w:numPr>
        <w:jc w:val="both"/>
        <w:rPr>
          <w:szCs w:val="20"/>
        </w:rPr>
      </w:pPr>
      <w:r w:rsidRPr="00DC1EFF">
        <w:rPr>
          <w:szCs w:val="20"/>
        </w:rPr>
        <w:t>Considering issues related to compliance and enforcement of standards in their development</w:t>
      </w:r>
      <w:r>
        <w:rPr>
          <w:szCs w:val="20"/>
        </w:rPr>
        <w:t>.</w:t>
      </w:r>
    </w:p>
    <w:p w14:paraId="2093612F" w14:textId="1902D261" w:rsidR="00A0241B" w:rsidRDefault="00A0241B" w:rsidP="00A0241B">
      <w:pPr>
        <w:pStyle w:val="AGLBodycopy"/>
        <w:numPr>
          <w:ilvl w:val="0"/>
          <w:numId w:val="10"/>
        </w:numPr>
        <w:jc w:val="both"/>
        <w:rPr>
          <w:szCs w:val="20"/>
        </w:rPr>
      </w:pPr>
      <w:r w:rsidRPr="00DC1EFF">
        <w:rPr>
          <w:szCs w:val="20"/>
        </w:rPr>
        <w:t>Providing advice on standards and undertaking related reviews</w:t>
      </w:r>
      <w:r>
        <w:rPr>
          <w:szCs w:val="20"/>
        </w:rPr>
        <w:t>.</w:t>
      </w:r>
    </w:p>
    <w:p w14:paraId="1C4DA058" w14:textId="22C08D07" w:rsidR="000476D6" w:rsidRPr="004F07C1" w:rsidRDefault="000476D6" w:rsidP="00A0241B">
      <w:pPr>
        <w:pStyle w:val="AGLBodycopy"/>
        <w:numPr>
          <w:ilvl w:val="0"/>
          <w:numId w:val="10"/>
        </w:numPr>
        <w:jc w:val="both"/>
        <w:rPr>
          <w:szCs w:val="20"/>
        </w:rPr>
      </w:pPr>
      <w:r w:rsidRPr="004F07C1">
        <w:rPr>
          <w:szCs w:val="20"/>
        </w:rPr>
        <w:t>Assessing distribution networks’ grid connection standards and ongoing obligations to manage voltage levels on the network to ensure transparency and alignment to support consistent consumer outcomes.</w:t>
      </w:r>
    </w:p>
    <w:p w14:paraId="29400414" w14:textId="77777777" w:rsidR="00011A5C" w:rsidRDefault="00A0241B" w:rsidP="00C11CC1">
      <w:pPr>
        <w:pStyle w:val="AGLBodycopy"/>
        <w:jc w:val="both"/>
        <w:rPr>
          <w:szCs w:val="20"/>
        </w:rPr>
      </w:pPr>
      <w:r>
        <w:rPr>
          <w:szCs w:val="20"/>
        </w:rPr>
        <w:t xml:space="preserve">In our experience with the development of </w:t>
      </w:r>
      <w:r w:rsidR="0092567B">
        <w:rPr>
          <w:szCs w:val="20"/>
        </w:rPr>
        <w:t xml:space="preserve">DER </w:t>
      </w:r>
      <w:r>
        <w:rPr>
          <w:szCs w:val="20"/>
        </w:rPr>
        <w:t>technical standards</w:t>
      </w:r>
      <w:r w:rsidR="0092567B">
        <w:rPr>
          <w:szCs w:val="20"/>
        </w:rPr>
        <w:t xml:space="preserve"> through Standards Australia, we have observed that proposals </w:t>
      </w:r>
      <w:r w:rsidR="00011A5C">
        <w:rPr>
          <w:szCs w:val="20"/>
        </w:rPr>
        <w:t xml:space="preserve">often </w:t>
      </w:r>
      <w:r w:rsidR="0092567B">
        <w:rPr>
          <w:szCs w:val="20"/>
        </w:rPr>
        <w:t xml:space="preserve">do not reflect a coordinated cross-industry view on the desirability of changes. Rather, proposals reflect proponents’ </w:t>
      </w:r>
      <w:r w:rsidR="009C64E1">
        <w:rPr>
          <w:szCs w:val="20"/>
        </w:rPr>
        <w:t xml:space="preserve">individual </w:t>
      </w:r>
      <w:r w:rsidR="0092567B">
        <w:rPr>
          <w:szCs w:val="20"/>
        </w:rPr>
        <w:t xml:space="preserve">strategic priorities, </w:t>
      </w:r>
      <w:r w:rsidR="009C64E1">
        <w:rPr>
          <w:szCs w:val="20"/>
        </w:rPr>
        <w:t>for example</w:t>
      </w:r>
      <w:r w:rsidR="0092567B">
        <w:rPr>
          <w:szCs w:val="20"/>
        </w:rPr>
        <w:t xml:space="preserve"> improve</w:t>
      </w:r>
      <w:r w:rsidR="009C64E1">
        <w:rPr>
          <w:szCs w:val="20"/>
        </w:rPr>
        <w:t>d</w:t>
      </w:r>
      <w:r w:rsidR="0092567B">
        <w:rPr>
          <w:szCs w:val="20"/>
        </w:rPr>
        <w:t xml:space="preserve"> </w:t>
      </w:r>
      <w:r w:rsidR="009C64E1">
        <w:rPr>
          <w:szCs w:val="20"/>
        </w:rPr>
        <w:t>system security and reliability or enhanced interoperability for customers. While Standards Australia committees undertake an initial assessment of proposals before commencing a formal development process, we consider that the Committee could fulfil a broader strategy function</w:t>
      </w:r>
      <w:r w:rsidR="00011A5C">
        <w:rPr>
          <w:szCs w:val="20"/>
        </w:rPr>
        <w:t xml:space="preserve"> that includes: </w:t>
      </w:r>
    </w:p>
    <w:p w14:paraId="3A9E2C73" w14:textId="071812FA" w:rsidR="00334E3B" w:rsidRDefault="00011A5C" w:rsidP="00334E3B">
      <w:pPr>
        <w:pStyle w:val="AGLBodycopy"/>
        <w:numPr>
          <w:ilvl w:val="0"/>
          <w:numId w:val="13"/>
        </w:numPr>
        <w:jc w:val="both"/>
        <w:rPr>
          <w:rFonts w:cstheme="minorHAnsi"/>
          <w:szCs w:val="20"/>
        </w:rPr>
      </w:pPr>
      <w:r w:rsidRPr="00011A5C">
        <w:rPr>
          <w:szCs w:val="20"/>
        </w:rPr>
        <w:t>Assessing whether proposals align with broader policy objectives, for example stemming from AEMC market review recommendations</w:t>
      </w:r>
      <w:r w:rsidR="009C64E1" w:rsidRPr="00011A5C">
        <w:rPr>
          <w:szCs w:val="20"/>
        </w:rPr>
        <w:t>, prior to proponents submitting proposals to Standards Australia</w:t>
      </w:r>
      <w:r w:rsidR="00544360">
        <w:rPr>
          <w:szCs w:val="20"/>
        </w:rPr>
        <w:t>.</w:t>
      </w:r>
    </w:p>
    <w:p w14:paraId="337C092A" w14:textId="6122AF95" w:rsidR="00544360" w:rsidRDefault="00544360" w:rsidP="00334E3B">
      <w:pPr>
        <w:pStyle w:val="AGLBodycopy"/>
        <w:numPr>
          <w:ilvl w:val="0"/>
          <w:numId w:val="13"/>
        </w:numPr>
        <w:jc w:val="both"/>
        <w:rPr>
          <w:rFonts w:cstheme="minorHAnsi"/>
          <w:szCs w:val="20"/>
        </w:rPr>
      </w:pPr>
      <w:r>
        <w:lastRenderedPageBreak/>
        <w:t xml:space="preserve">Commissioning specific research or studies </w:t>
      </w:r>
      <w:r w:rsidR="004F07C1">
        <w:t>to determine if new or revised technical standards are needed</w:t>
      </w:r>
      <w:r>
        <w:t>.</w:t>
      </w:r>
    </w:p>
    <w:p w14:paraId="0DAADE65" w14:textId="514A8924" w:rsidR="009C64E1" w:rsidRPr="00334E3B" w:rsidRDefault="00334E3B" w:rsidP="00334E3B">
      <w:pPr>
        <w:pStyle w:val="AGLBodycopy"/>
        <w:numPr>
          <w:ilvl w:val="0"/>
          <w:numId w:val="13"/>
        </w:numPr>
        <w:jc w:val="both"/>
        <w:rPr>
          <w:rFonts w:cstheme="minorHAnsi"/>
          <w:szCs w:val="20"/>
        </w:rPr>
      </w:pPr>
      <w:r>
        <w:rPr>
          <w:rFonts w:cstheme="minorHAnsi"/>
          <w:szCs w:val="20"/>
        </w:rPr>
        <w:t>O</w:t>
      </w:r>
      <w:r w:rsidR="00011A5C" w:rsidRPr="00334E3B">
        <w:rPr>
          <w:szCs w:val="20"/>
        </w:rPr>
        <w:t xml:space="preserve">verseeing relevant </w:t>
      </w:r>
      <w:r w:rsidR="009C64E1" w:rsidRPr="00334E3B">
        <w:rPr>
          <w:rFonts w:cstheme="minorHAnsi"/>
          <w:szCs w:val="20"/>
        </w:rPr>
        <w:t>technical model</w:t>
      </w:r>
      <w:r w:rsidR="00011A5C" w:rsidRPr="00334E3B">
        <w:rPr>
          <w:rFonts w:cstheme="minorHAnsi"/>
          <w:szCs w:val="20"/>
        </w:rPr>
        <w:t>ling</w:t>
      </w:r>
      <w:r w:rsidR="009C64E1" w:rsidRPr="00334E3B">
        <w:rPr>
          <w:rFonts w:cstheme="minorHAnsi"/>
          <w:szCs w:val="20"/>
        </w:rPr>
        <w:t xml:space="preserve"> and cost benefit analysis</w:t>
      </w:r>
      <w:r w:rsidR="00011A5C" w:rsidRPr="00334E3B">
        <w:rPr>
          <w:rFonts w:cstheme="minorHAnsi"/>
          <w:szCs w:val="20"/>
        </w:rPr>
        <w:t xml:space="preserve"> to validate proposed changes and inform more robust decision-making in Standards Australia committees. </w:t>
      </w:r>
    </w:p>
    <w:p w14:paraId="726F74B7" w14:textId="419CA3D0" w:rsidR="00194E21" w:rsidRDefault="00334E3B" w:rsidP="00C11CC1">
      <w:pPr>
        <w:pStyle w:val="AGLBodycopy"/>
        <w:jc w:val="both"/>
        <w:rPr>
          <w:szCs w:val="20"/>
        </w:rPr>
      </w:pPr>
      <w:r>
        <w:rPr>
          <w:szCs w:val="20"/>
        </w:rPr>
        <w:t xml:space="preserve">In our view, this would </w:t>
      </w:r>
      <w:r w:rsidR="00424BBB">
        <w:rPr>
          <w:szCs w:val="20"/>
        </w:rPr>
        <w:t>support</w:t>
      </w:r>
      <w:r>
        <w:rPr>
          <w:szCs w:val="20"/>
        </w:rPr>
        <w:t xml:space="preserve"> standards development proposals that </w:t>
      </w:r>
      <w:r w:rsidR="00424BBB">
        <w:rPr>
          <w:szCs w:val="20"/>
        </w:rPr>
        <w:t>are</w:t>
      </w:r>
      <w:r>
        <w:rPr>
          <w:szCs w:val="20"/>
        </w:rPr>
        <w:t xml:space="preserve"> evidence-based and accurately reflects </w:t>
      </w:r>
      <w:r w:rsidR="003D2D17">
        <w:rPr>
          <w:szCs w:val="20"/>
        </w:rPr>
        <w:t xml:space="preserve">industry’s </w:t>
      </w:r>
      <w:r>
        <w:rPr>
          <w:szCs w:val="20"/>
        </w:rPr>
        <w:t>broader strategic priorities</w:t>
      </w:r>
      <w:r w:rsidR="003D2D17">
        <w:rPr>
          <w:szCs w:val="20"/>
        </w:rPr>
        <w:t xml:space="preserve">, as </w:t>
      </w:r>
      <w:r w:rsidR="00424BBB">
        <w:rPr>
          <w:szCs w:val="20"/>
        </w:rPr>
        <w:t>identified</w:t>
      </w:r>
      <w:r w:rsidR="003D2D17">
        <w:rPr>
          <w:szCs w:val="20"/>
        </w:rPr>
        <w:t xml:space="preserve"> through broader market reviews</w:t>
      </w:r>
      <w:r>
        <w:rPr>
          <w:szCs w:val="20"/>
        </w:rPr>
        <w:t>. While the Distributed Energy Integration Program has begun to engage industry in some strategic planning with respect to standards development, th</w:t>
      </w:r>
      <w:r w:rsidR="00424BBB">
        <w:rPr>
          <w:szCs w:val="20"/>
        </w:rPr>
        <w:t>r</w:t>
      </w:r>
      <w:r>
        <w:rPr>
          <w:szCs w:val="20"/>
        </w:rPr>
        <w:t xml:space="preserve">ough its working groups and taskforces, to date this has been </w:t>
      </w:r>
      <w:r w:rsidRPr="00544360">
        <w:rPr>
          <w:i/>
          <w:iCs/>
          <w:szCs w:val="20"/>
        </w:rPr>
        <w:t>ad hoc</w:t>
      </w:r>
      <w:r>
        <w:rPr>
          <w:szCs w:val="20"/>
        </w:rPr>
        <w:t xml:space="preserve"> and has tended to be driven by the strategic objectives of individual organisations such as AEMO</w:t>
      </w:r>
      <w:r w:rsidR="003D2D17">
        <w:rPr>
          <w:szCs w:val="20"/>
        </w:rPr>
        <w:t xml:space="preserve"> rather than as the result of </w:t>
      </w:r>
      <w:r w:rsidR="00424BBB">
        <w:rPr>
          <w:szCs w:val="20"/>
        </w:rPr>
        <w:t xml:space="preserve">AEMC </w:t>
      </w:r>
      <w:r w:rsidR="003D2D17">
        <w:rPr>
          <w:szCs w:val="20"/>
        </w:rPr>
        <w:t>market reviews with robust stakeholder engagement</w:t>
      </w:r>
      <w:r>
        <w:rPr>
          <w:szCs w:val="20"/>
        </w:rPr>
        <w:t xml:space="preserve">. </w:t>
      </w:r>
    </w:p>
    <w:p w14:paraId="11CF90BF" w14:textId="0EE994F2" w:rsidR="001F5DC6" w:rsidRDefault="003D2D17" w:rsidP="003D2D17">
      <w:pPr>
        <w:pStyle w:val="AGLBodycopy"/>
        <w:jc w:val="both"/>
        <w:rPr>
          <w:szCs w:val="20"/>
        </w:rPr>
      </w:pPr>
      <w:r>
        <w:rPr>
          <w:szCs w:val="20"/>
        </w:rPr>
        <w:t xml:space="preserve">We do not consider that the Committee should be empowered to set DER technical standards. As noted above, we believe that the functions and powers of the Committee should complement and enhance the current standards making process, especially through Standards Australia, and not introduce additional complexity or duplication. Accordingly, we would recommend that the </w:t>
      </w:r>
      <w:r w:rsidR="004F07C1">
        <w:rPr>
          <w:szCs w:val="20"/>
        </w:rPr>
        <w:t>ESB’s final decision articulate how the Committee’s advisory function would interact and guide Standards Australia’s standard setting work</w:t>
      </w:r>
      <w:r w:rsidR="001F5DC6">
        <w:rPr>
          <w:szCs w:val="20"/>
        </w:rPr>
        <w:t xml:space="preserve"> to ensure th</w:t>
      </w:r>
      <w:r w:rsidR="001B2256">
        <w:rPr>
          <w:szCs w:val="20"/>
        </w:rPr>
        <w:t>at the</w:t>
      </w:r>
      <w:r w:rsidR="001F5DC6">
        <w:rPr>
          <w:szCs w:val="20"/>
        </w:rPr>
        <w:t xml:space="preserve"> two regulatory frameworks align. </w:t>
      </w:r>
    </w:p>
    <w:p w14:paraId="2791DB98" w14:textId="65726087" w:rsidR="001B2256" w:rsidRPr="001B2256" w:rsidRDefault="001B2256" w:rsidP="003D2D17">
      <w:pPr>
        <w:pStyle w:val="AGLBodycopy"/>
        <w:jc w:val="both"/>
        <w:rPr>
          <w:i/>
          <w:iCs/>
          <w:szCs w:val="20"/>
        </w:rPr>
      </w:pPr>
      <w:r>
        <w:rPr>
          <w:i/>
          <w:iCs/>
          <w:szCs w:val="20"/>
        </w:rPr>
        <w:t>Broadening the Committee’s functions</w:t>
      </w:r>
    </w:p>
    <w:p w14:paraId="2A872C4F" w14:textId="1A2C10EC" w:rsidR="00477A4C" w:rsidRDefault="001F5DC6" w:rsidP="003D2D17">
      <w:pPr>
        <w:pStyle w:val="AGLBodycopy"/>
        <w:jc w:val="both"/>
        <w:rPr>
          <w:szCs w:val="20"/>
        </w:rPr>
      </w:pPr>
      <w:r>
        <w:rPr>
          <w:szCs w:val="20"/>
        </w:rPr>
        <w:t>Beyond the functions envisaged in the Consultation Paper, we would also recommend the Committee have remit to consider distribution networks’ grid connection standards</w:t>
      </w:r>
      <w:r w:rsidR="008E5C35">
        <w:rPr>
          <w:szCs w:val="20"/>
        </w:rPr>
        <w:t xml:space="preserve"> </w:t>
      </w:r>
      <w:r w:rsidR="008E5C35" w:rsidRPr="008E5C35">
        <w:rPr>
          <w:szCs w:val="20"/>
        </w:rPr>
        <w:t xml:space="preserve">and ongoing obligations to manage </w:t>
      </w:r>
      <w:r w:rsidR="0053723F">
        <w:rPr>
          <w:szCs w:val="20"/>
        </w:rPr>
        <w:t>quality of supply</w:t>
      </w:r>
      <w:r w:rsidR="0053723F" w:rsidRPr="008E5C35">
        <w:rPr>
          <w:szCs w:val="20"/>
        </w:rPr>
        <w:t xml:space="preserve"> </w:t>
      </w:r>
      <w:r w:rsidR="008E5C35" w:rsidRPr="008E5C35">
        <w:rPr>
          <w:szCs w:val="20"/>
        </w:rPr>
        <w:t>on the network</w:t>
      </w:r>
      <w:r w:rsidR="008E5C35">
        <w:rPr>
          <w:szCs w:val="20"/>
        </w:rPr>
        <w:t xml:space="preserve"> </w:t>
      </w:r>
      <w:r>
        <w:rPr>
          <w:szCs w:val="20"/>
        </w:rPr>
        <w:t xml:space="preserve">to ensure transparency and alignment to support consistent consumer outcomes. </w:t>
      </w:r>
    </w:p>
    <w:p w14:paraId="40A48D59" w14:textId="4611D43E" w:rsidR="001F5DC6" w:rsidRDefault="008E5C35" w:rsidP="003D2D17">
      <w:pPr>
        <w:pStyle w:val="AGLBodycopy"/>
        <w:jc w:val="both"/>
        <w:rPr>
          <w:szCs w:val="20"/>
        </w:rPr>
      </w:pPr>
      <w:bookmarkStart w:id="2" w:name="_Hlk46820103"/>
      <w:r>
        <w:rPr>
          <w:szCs w:val="20"/>
        </w:rPr>
        <w:t xml:space="preserve">The Consultation Paper appears to frame the challenge of DER integration </w:t>
      </w:r>
      <w:r w:rsidR="00477A4C">
        <w:rPr>
          <w:szCs w:val="20"/>
        </w:rPr>
        <w:t xml:space="preserve">principally </w:t>
      </w:r>
      <w:r>
        <w:rPr>
          <w:szCs w:val="20"/>
        </w:rPr>
        <w:t xml:space="preserve">as one of developing appropriate technical standards to ensure that DER does not impact the secure operation of electricity system and distribution networks. In our view, DER integration is equally about </w:t>
      </w:r>
      <w:r w:rsidR="00477A4C">
        <w:rPr>
          <w:szCs w:val="20"/>
        </w:rPr>
        <w:t xml:space="preserve">ensuring that </w:t>
      </w:r>
      <w:r w:rsidR="00477A4C">
        <w:t xml:space="preserve">network investment and operations facilitate the interaction of DER with the broader energy market system. </w:t>
      </w:r>
      <w:r w:rsidR="001B2256">
        <w:t xml:space="preserve">Technical standards also need to support the evolution of </w:t>
      </w:r>
      <w:r w:rsidR="00140880">
        <w:t xml:space="preserve">the </w:t>
      </w:r>
      <w:r w:rsidR="001B2256">
        <w:t xml:space="preserve">NEM by facilitating rather than hindering the emergence of a </w:t>
      </w:r>
      <w:r w:rsidR="00140880">
        <w:t xml:space="preserve">          </w:t>
      </w:r>
      <w:r w:rsidR="001B2256">
        <w:t xml:space="preserve">two-sided market. </w:t>
      </w:r>
    </w:p>
    <w:bookmarkEnd w:id="2"/>
    <w:p w14:paraId="5BAD1C11" w14:textId="0678468A" w:rsidR="001B2256" w:rsidRPr="001B2256" w:rsidRDefault="001B2256" w:rsidP="00477A4C">
      <w:pPr>
        <w:pStyle w:val="AGLBodycopy"/>
        <w:jc w:val="both"/>
        <w:rPr>
          <w:i/>
          <w:iCs/>
        </w:rPr>
      </w:pPr>
      <w:r>
        <w:rPr>
          <w:i/>
          <w:iCs/>
        </w:rPr>
        <w:t>Role for the Committee in considering current issues and how they interact with technical standards</w:t>
      </w:r>
    </w:p>
    <w:p w14:paraId="013B7870" w14:textId="55849DF8" w:rsidR="00477A4C" w:rsidRDefault="00477A4C" w:rsidP="00477A4C">
      <w:pPr>
        <w:pStyle w:val="AGLBodycopy"/>
        <w:jc w:val="both"/>
      </w:pPr>
      <w:r>
        <w:t>Through AGL’s SA VPP, we have been able to draw upon operational data to develop a range of important insights into the interaction of DER with the low voltage distribution network, including on voltage management.</w:t>
      </w:r>
      <w:r>
        <w:rPr>
          <w:rStyle w:val="FootnoteReference"/>
        </w:rPr>
        <w:footnoteReference w:id="4"/>
      </w:r>
      <w:r>
        <w:t xml:space="preserve"> </w:t>
      </w:r>
    </w:p>
    <w:p w14:paraId="61880C98" w14:textId="19C48CB0" w:rsidR="00477A4C" w:rsidRDefault="00477A4C" w:rsidP="00477A4C">
      <w:pPr>
        <w:pStyle w:val="AGLBodycopy"/>
        <w:jc w:val="both"/>
      </w:pPr>
      <w:r>
        <w:t xml:space="preserve">Among a range of insights, we have observed that voltage levels across the grid are generally high, regardless of whether customers are exporting solar. We note that the </w:t>
      </w:r>
      <w:r w:rsidR="00833B21">
        <w:t>ESB</w:t>
      </w:r>
      <w:r>
        <w:t xml:space="preserve"> and Australian Energy Regulator’s (</w:t>
      </w:r>
      <w:r w:rsidRPr="00D64BA3">
        <w:rPr>
          <w:b/>
          <w:bCs/>
        </w:rPr>
        <w:t>AER</w:t>
      </w:r>
      <w:r>
        <w:t>) commissioned UNSW report,</w:t>
      </w:r>
      <w:r>
        <w:rPr>
          <w:rStyle w:val="FootnoteReference"/>
        </w:rPr>
        <w:footnoteReference w:id="5"/>
      </w:r>
      <w:r>
        <w:t xml:space="preserve"> also found that high voltages are due to a range of factors, especially historic circumstances of distribution network operation, with implications for compliance and </w:t>
      </w:r>
      <w:r>
        <w:lastRenderedPageBreak/>
        <w:t>consumer losses. Accordingly, we support network businesses’ approach to engaging with the overvoltage issue and seek to understand a range of potential solutions that support customer value.</w:t>
      </w:r>
      <w:r w:rsidRPr="00D64BA3">
        <w:t xml:space="preserve"> </w:t>
      </w:r>
    </w:p>
    <w:p w14:paraId="3B580DFE" w14:textId="77777777" w:rsidR="00477A4C" w:rsidRPr="00096DCF" w:rsidRDefault="00477A4C" w:rsidP="00477A4C">
      <w:pPr>
        <w:pStyle w:val="AGLBodycopy"/>
        <w:jc w:val="both"/>
      </w:pPr>
      <w:r>
        <w:t xml:space="preserve">Given that DER is typically not the sole cause of the problem, we would support complementary reforms </w:t>
      </w:r>
      <w:r>
        <w:rPr>
          <w:szCs w:val="20"/>
        </w:rPr>
        <w:t>to deal with legacy network operating issues so that the burden of the transition is not borne by customers alone.</w:t>
      </w:r>
      <w:r>
        <w:rPr>
          <w:rStyle w:val="FootnoteReference"/>
          <w:szCs w:val="20"/>
        </w:rPr>
        <w:footnoteReference w:id="6"/>
      </w:r>
    </w:p>
    <w:p w14:paraId="05A1DB85" w14:textId="0F84EDA0" w:rsidR="001B2256" w:rsidRPr="001B2256" w:rsidRDefault="001B2256" w:rsidP="003D2D17">
      <w:pPr>
        <w:pStyle w:val="AGLBodycopy"/>
        <w:jc w:val="both"/>
        <w:rPr>
          <w:i/>
          <w:iCs/>
          <w:szCs w:val="20"/>
        </w:rPr>
      </w:pPr>
      <w:r>
        <w:rPr>
          <w:i/>
          <w:iCs/>
          <w:szCs w:val="20"/>
        </w:rPr>
        <w:t>Role of the Committee in considering Connection Agreements</w:t>
      </w:r>
    </w:p>
    <w:p w14:paraId="35F23A9E" w14:textId="15630510" w:rsidR="001F5DC6" w:rsidRDefault="000476D6" w:rsidP="003D2D17">
      <w:pPr>
        <w:pStyle w:val="AGLBodycopy"/>
        <w:jc w:val="both"/>
        <w:rPr>
          <w:szCs w:val="20"/>
        </w:rPr>
      </w:pPr>
      <w:r>
        <w:rPr>
          <w:szCs w:val="20"/>
        </w:rPr>
        <w:t>In our experience with distributed energy products and services, w</w:t>
      </w:r>
      <w:r w:rsidR="00477A4C">
        <w:rPr>
          <w:szCs w:val="20"/>
        </w:rPr>
        <w:t>e have also observed that</w:t>
      </w:r>
      <w:r w:rsidR="001F5DC6" w:rsidRPr="001F5DC6">
        <w:rPr>
          <w:szCs w:val="20"/>
        </w:rPr>
        <w:t xml:space="preserve"> varying technical requirements enforced by distribution networks have limited consumers’ ability to utilise their DERs to participate in services which provide broader system benefits. Agents registering customer connections also </w:t>
      </w:r>
      <w:proofErr w:type="gramStart"/>
      <w:r w:rsidR="001F5DC6" w:rsidRPr="001F5DC6">
        <w:rPr>
          <w:szCs w:val="20"/>
        </w:rPr>
        <w:t>experience</w:t>
      </w:r>
      <w:r w:rsidR="00140880">
        <w:rPr>
          <w:szCs w:val="20"/>
        </w:rPr>
        <w:t xml:space="preserve"> </w:t>
      </w:r>
      <w:r w:rsidR="001F5DC6" w:rsidRPr="001F5DC6">
        <w:rPr>
          <w:szCs w:val="20"/>
        </w:rPr>
        <w:t>difficulty</w:t>
      </w:r>
      <w:proofErr w:type="gramEnd"/>
      <w:r w:rsidR="001F5DC6" w:rsidRPr="001F5DC6">
        <w:rPr>
          <w:szCs w:val="20"/>
        </w:rPr>
        <w:t xml:space="preserve"> in understanding distribution network connections processes and technical requirements. This complicates agents’ ability to design and register DER systems and adversely impacts consumers’ ability to realise the full value of the DER assets.</w:t>
      </w:r>
      <w:r w:rsidR="00477A4C">
        <w:rPr>
          <w:szCs w:val="20"/>
        </w:rPr>
        <w:t xml:space="preserve"> </w:t>
      </w:r>
    </w:p>
    <w:p w14:paraId="59FADAD7" w14:textId="1F9390A0" w:rsidR="000476D6" w:rsidRDefault="00477A4C" w:rsidP="000476D6">
      <w:pPr>
        <w:pStyle w:val="AGLBodycopy"/>
        <w:jc w:val="both"/>
        <w:rPr>
          <w:szCs w:val="20"/>
        </w:rPr>
      </w:pPr>
      <w:r>
        <w:rPr>
          <w:szCs w:val="20"/>
        </w:rPr>
        <w:t xml:space="preserve">Whilst Energy Networks Australia sought to address these discrepancies through the development of its National Distributed Energy Resources Grid Connection Guidelines in 2019, </w:t>
      </w:r>
      <w:r w:rsidR="000476D6">
        <w:rPr>
          <w:szCs w:val="20"/>
        </w:rPr>
        <w:t>the results of that project highlighted some of the risks associated with establishing a national connections framework for DER through an industry body. These include that u</w:t>
      </w:r>
      <w:r w:rsidR="000476D6" w:rsidRPr="000476D6">
        <w:rPr>
          <w:szCs w:val="20"/>
        </w:rPr>
        <w:t xml:space="preserve">nless appropriately implemented into the </w:t>
      </w:r>
      <w:r w:rsidR="000476D6">
        <w:rPr>
          <w:szCs w:val="20"/>
        </w:rPr>
        <w:t>NER</w:t>
      </w:r>
      <w:r w:rsidR="000476D6" w:rsidRPr="000476D6">
        <w:rPr>
          <w:szCs w:val="20"/>
        </w:rPr>
        <w:t xml:space="preserve"> and/ or individual network businesses’ technical guidelines and Connection Agreements, consumers, installers and manufacturers would have limited recourse to challenge network connection settings that do not adopt or align with the Connection Guidelines. This legal ambiguity would result in less certainty for consumers</w:t>
      </w:r>
      <w:r w:rsidR="000476D6">
        <w:rPr>
          <w:szCs w:val="20"/>
        </w:rPr>
        <w:t xml:space="preserve">. </w:t>
      </w:r>
      <w:r w:rsidR="000476D6" w:rsidRPr="000476D6">
        <w:rPr>
          <w:szCs w:val="20"/>
        </w:rPr>
        <w:t xml:space="preserve"> </w:t>
      </w:r>
    </w:p>
    <w:p w14:paraId="19ECF3C7" w14:textId="6AC65B52" w:rsidR="003D2D17" w:rsidRPr="00334E3B" w:rsidRDefault="000476D6" w:rsidP="00C11CC1">
      <w:pPr>
        <w:pStyle w:val="AGLBodycopy"/>
        <w:jc w:val="both"/>
        <w:rPr>
          <w:szCs w:val="20"/>
        </w:rPr>
      </w:pPr>
      <w:r>
        <w:t>We consider that empowering the Committee to a</w:t>
      </w:r>
      <w:r>
        <w:rPr>
          <w:szCs w:val="20"/>
        </w:rPr>
        <w:t xml:space="preserve">ssess distribution networks’ grid connection standards </w:t>
      </w:r>
      <w:r w:rsidRPr="008E5C35">
        <w:rPr>
          <w:szCs w:val="20"/>
        </w:rPr>
        <w:t>and ongoing obligations to manage voltage levels</w:t>
      </w:r>
      <w:r w:rsidR="00833B21">
        <w:rPr>
          <w:szCs w:val="20"/>
        </w:rPr>
        <w:t xml:space="preserve"> would enable the Committee to provide more balanced advice on improvements to the regulatory framework to support DER integration. </w:t>
      </w:r>
    </w:p>
    <w:p w14:paraId="23BF2985" w14:textId="30EF968D" w:rsidR="005F45C1" w:rsidRDefault="005F45C1" w:rsidP="00C11CC1">
      <w:pPr>
        <w:pStyle w:val="AGLBodycopy"/>
        <w:jc w:val="both"/>
        <w:rPr>
          <w:i/>
          <w:iCs/>
          <w:szCs w:val="20"/>
        </w:rPr>
      </w:pPr>
      <w:r w:rsidRPr="005F45C1">
        <w:rPr>
          <w:i/>
          <w:iCs/>
          <w:szCs w:val="20"/>
        </w:rPr>
        <w:t xml:space="preserve">Q4. Do you have any feedback about the Committee determining standards in a subsidiary instrument under the rules? </w:t>
      </w:r>
    </w:p>
    <w:p w14:paraId="0D7EDF00" w14:textId="5F1250B7" w:rsidR="001B2256" w:rsidRDefault="001B2256" w:rsidP="00357440">
      <w:pPr>
        <w:pStyle w:val="AGLBodycopy"/>
        <w:jc w:val="both"/>
        <w:rPr>
          <w:szCs w:val="20"/>
        </w:rPr>
      </w:pPr>
      <w:r>
        <w:rPr>
          <w:szCs w:val="20"/>
        </w:rPr>
        <w:t xml:space="preserve">Our preferred approach is for the Committee to have an advisory function for the reasons elaborated above. </w:t>
      </w:r>
    </w:p>
    <w:p w14:paraId="27F0DAE4" w14:textId="4C793BB4" w:rsidR="00357440" w:rsidRPr="00CE52BE" w:rsidRDefault="001B2256" w:rsidP="00357440">
      <w:pPr>
        <w:pStyle w:val="AGLBodycopy"/>
        <w:jc w:val="both"/>
        <w:rPr>
          <w:szCs w:val="20"/>
        </w:rPr>
      </w:pPr>
      <w:r>
        <w:rPr>
          <w:szCs w:val="20"/>
        </w:rPr>
        <w:t xml:space="preserve">Should the ESB decide that the Committee should have a determining function, </w:t>
      </w:r>
      <w:r w:rsidR="00357440">
        <w:rPr>
          <w:szCs w:val="20"/>
        </w:rPr>
        <w:t xml:space="preserve">AGL would recommend that any minimum standards be published in the NER, as well as being reflected in connection contracts. Given the extent to which grid connection rules are often opaque and vary between distribution network business, this would improve transparency and accessibility for customers. </w:t>
      </w:r>
    </w:p>
    <w:p w14:paraId="77A8927A" w14:textId="359A242A" w:rsidR="005F45C1" w:rsidRPr="005F45C1" w:rsidRDefault="005F45C1" w:rsidP="00C11CC1">
      <w:pPr>
        <w:pStyle w:val="AGLBodycopy"/>
        <w:jc w:val="both"/>
        <w:rPr>
          <w:i/>
          <w:iCs/>
          <w:szCs w:val="20"/>
        </w:rPr>
      </w:pPr>
      <w:r w:rsidRPr="005F45C1">
        <w:rPr>
          <w:i/>
          <w:iCs/>
          <w:szCs w:val="20"/>
        </w:rPr>
        <w:t xml:space="preserve">Q5. Do you have any feedback on the development of new compliance and enforcement arrangements for DER technical standards? </w:t>
      </w:r>
    </w:p>
    <w:p w14:paraId="7B098610" w14:textId="77777777" w:rsidR="001B2256" w:rsidRPr="00011A5C" w:rsidRDefault="001B2256" w:rsidP="001B2256">
      <w:pPr>
        <w:pStyle w:val="AGLBodycopy"/>
        <w:jc w:val="both"/>
        <w:rPr>
          <w:rFonts w:eastAsia="Times New Roman"/>
          <w:szCs w:val="20"/>
          <w:lang w:val="en-AU"/>
        </w:rPr>
      </w:pPr>
      <w:r w:rsidRPr="00011A5C">
        <w:rPr>
          <w:szCs w:val="20"/>
        </w:rPr>
        <w:t>Given the policy intent to improve compliance, we would recommend a preferable approach would be t</w:t>
      </w:r>
      <w:r w:rsidRPr="00011A5C">
        <w:rPr>
          <w:szCs w:val="20"/>
          <w:lang w:val="en-AU"/>
        </w:rPr>
        <w:t xml:space="preserve">o </w:t>
      </w:r>
      <w:r w:rsidRPr="00011A5C">
        <w:rPr>
          <w:szCs w:val="20"/>
        </w:rPr>
        <w:t xml:space="preserve">leverage the existing compliance framework through state-based instruments. </w:t>
      </w:r>
    </w:p>
    <w:p w14:paraId="027BF890" w14:textId="3D61FE65" w:rsidR="00011A5C" w:rsidRDefault="00011A5C" w:rsidP="00011A5C">
      <w:pPr>
        <w:pStyle w:val="AGLBodycopy"/>
        <w:jc w:val="both"/>
        <w:rPr>
          <w:rFonts w:eastAsia="Times New Roman"/>
          <w:szCs w:val="20"/>
          <w:lang w:val="en-AU"/>
        </w:rPr>
      </w:pPr>
      <w:r w:rsidRPr="00011A5C">
        <w:rPr>
          <w:rFonts w:eastAsia="Times New Roman"/>
          <w:szCs w:val="20"/>
          <w:lang w:val="en-AU"/>
        </w:rPr>
        <w:t xml:space="preserve">We consider that developing new compliance and enforcement arrangements for DER technical standards could create additional complexity and/or shortcomings in the </w:t>
      </w:r>
      <w:r w:rsidR="001B2256">
        <w:rPr>
          <w:rFonts w:eastAsia="Times New Roman"/>
          <w:szCs w:val="20"/>
          <w:lang w:val="en-AU"/>
        </w:rPr>
        <w:t xml:space="preserve">existing </w:t>
      </w:r>
      <w:r w:rsidRPr="00011A5C">
        <w:rPr>
          <w:rFonts w:eastAsia="Times New Roman"/>
          <w:szCs w:val="20"/>
          <w:lang w:val="en-AU"/>
        </w:rPr>
        <w:t xml:space="preserve">compliance regime associated with DER technical standards. </w:t>
      </w:r>
    </w:p>
    <w:p w14:paraId="6BBEECCD" w14:textId="34647470" w:rsidR="00321853" w:rsidRDefault="00011A5C" w:rsidP="00011A5C">
      <w:pPr>
        <w:pStyle w:val="AGLBodycopy"/>
        <w:jc w:val="both"/>
        <w:rPr>
          <w:szCs w:val="20"/>
          <w:lang w:val="en-AU"/>
        </w:rPr>
      </w:pPr>
      <w:r>
        <w:rPr>
          <w:rFonts w:eastAsia="Times New Roman"/>
          <w:szCs w:val="20"/>
          <w:lang w:val="en-AU"/>
        </w:rPr>
        <w:lastRenderedPageBreak/>
        <w:t xml:space="preserve">As noted above, </w:t>
      </w:r>
      <w:r w:rsidRPr="00011A5C">
        <w:rPr>
          <w:rFonts w:cstheme="minorHAnsi"/>
          <w:szCs w:val="20"/>
        </w:rPr>
        <w:t>given the current incorporation of technical standards through state-based legislative and safety requirements</w:t>
      </w:r>
      <w:r>
        <w:rPr>
          <w:rFonts w:cstheme="minorHAnsi"/>
          <w:szCs w:val="20"/>
        </w:rPr>
        <w:t xml:space="preserve">, </w:t>
      </w:r>
      <w:r w:rsidR="00357440">
        <w:rPr>
          <w:rFonts w:cstheme="minorHAnsi"/>
          <w:szCs w:val="20"/>
        </w:rPr>
        <w:t>enforcing</w:t>
      </w:r>
      <w:r w:rsidRPr="00011A5C">
        <w:rPr>
          <w:szCs w:val="20"/>
          <w:lang w:val="en-AU"/>
        </w:rPr>
        <w:t xml:space="preserve"> technical standards outside of </w:t>
      </w:r>
      <w:r w:rsidR="00321853">
        <w:rPr>
          <w:szCs w:val="20"/>
          <w:lang w:val="en-AU"/>
        </w:rPr>
        <w:t>the current r</w:t>
      </w:r>
      <w:r w:rsidRPr="00011A5C">
        <w:rPr>
          <w:szCs w:val="20"/>
          <w:lang w:val="en-AU"/>
        </w:rPr>
        <w:t xml:space="preserve">egulatory framework would potentially rely upon networks connection agreements, placing the compliance burden on networks businesses and electricity retailers who may not have direct carriage of installations. </w:t>
      </w:r>
    </w:p>
    <w:p w14:paraId="3BF64A05" w14:textId="1D607F32" w:rsidR="001B2256" w:rsidRDefault="001B2256" w:rsidP="001B2256">
      <w:pPr>
        <w:pStyle w:val="AGLBodycopy"/>
        <w:jc w:val="both"/>
        <w:rPr>
          <w:szCs w:val="20"/>
        </w:rPr>
      </w:pPr>
      <w:r>
        <w:rPr>
          <w:szCs w:val="20"/>
          <w:lang w:val="en-AU"/>
        </w:rPr>
        <w:t>An alternative compliance pathway proposed by AEMO in its rule change proposal</w:t>
      </w:r>
      <w:r>
        <w:rPr>
          <w:rStyle w:val="FootnoteReference"/>
          <w:szCs w:val="20"/>
          <w:lang w:val="en-AU"/>
        </w:rPr>
        <w:footnoteReference w:id="7"/>
      </w:r>
      <w:r>
        <w:rPr>
          <w:szCs w:val="20"/>
          <w:lang w:val="en-AU"/>
        </w:rPr>
        <w:t xml:space="preserve"> was based on mirroring the ring-fencing compliance regime. Under that proposal, the AER would </w:t>
      </w:r>
      <w:r>
        <w:rPr>
          <w:szCs w:val="20"/>
        </w:rPr>
        <w:t xml:space="preserve">develop a light-touch monitoring and compliance framework that would rely upon proactive reporting of breaches by covered entities. </w:t>
      </w:r>
      <w:r w:rsidR="00893500">
        <w:rPr>
          <w:szCs w:val="20"/>
        </w:rPr>
        <w:t>G</w:t>
      </w:r>
      <w:r>
        <w:rPr>
          <w:szCs w:val="20"/>
        </w:rPr>
        <w:t>iven that potential DER technical standards are intended to apply to matters touching upon customer safety (in inverter performance and grid responsiveness) and the security of the energy market system (in interoperability and cyber security), we do not consider that a light touch compliance regime will be sufficient to ensure compliance.</w:t>
      </w:r>
    </w:p>
    <w:p w14:paraId="540F208D" w14:textId="77777777" w:rsidR="00485419" w:rsidRDefault="00485419" w:rsidP="00C11CC1">
      <w:pPr>
        <w:pStyle w:val="AGLBodycopy"/>
        <w:jc w:val="both"/>
        <w:rPr>
          <w:b/>
          <w:szCs w:val="20"/>
        </w:rPr>
      </w:pPr>
    </w:p>
    <w:p w14:paraId="3A4A5EFD" w14:textId="529C5FAC" w:rsidR="005F45C1" w:rsidRDefault="005F45C1" w:rsidP="00C11CC1">
      <w:pPr>
        <w:pStyle w:val="AGLBodycopy"/>
        <w:jc w:val="both"/>
        <w:rPr>
          <w:b/>
          <w:szCs w:val="20"/>
        </w:rPr>
      </w:pPr>
      <w:r>
        <w:rPr>
          <w:b/>
          <w:szCs w:val="20"/>
        </w:rPr>
        <w:t>The nature and structure of the DER Standards Governance Committee</w:t>
      </w:r>
    </w:p>
    <w:p w14:paraId="7D05A8BA" w14:textId="77777777" w:rsidR="00C11CC1" w:rsidRPr="00C11CC1" w:rsidRDefault="00C11CC1" w:rsidP="00C11CC1">
      <w:pPr>
        <w:pStyle w:val="AGLBodycopy"/>
        <w:jc w:val="both"/>
        <w:rPr>
          <w:i/>
          <w:iCs/>
          <w:szCs w:val="20"/>
        </w:rPr>
      </w:pPr>
      <w:r w:rsidRPr="00C11CC1">
        <w:rPr>
          <w:i/>
          <w:iCs/>
          <w:szCs w:val="20"/>
        </w:rPr>
        <w:t xml:space="preserve">Q6. Do you support the proposed composition of the membership and nature of chair of the Committee? Please provide reasons or nominate alternative arrangements. </w:t>
      </w:r>
    </w:p>
    <w:p w14:paraId="1BD83537" w14:textId="49C482C3" w:rsidR="009661E0" w:rsidRDefault="00EB7346" w:rsidP="009661E0">
      <w:pPr>
        <w:pStyle w:val="AGLBodycopy"/>
        <w:jc w:val="both"/>
        <w:rPr>
          <w:szCs w:val="20"/>
        </w:rPr>
      </w:pPr>
      <w:r>
        <w:rPr>
          <w:szCs w:val="20"/>
        </w:rPr>
        <w:t xml:space="preserve">AGL is generally supportive of the proposed membership composition of the Committee. We consider that the proposed composition is appropriately balanced to </w:t>
      </w:r>
      <w:r w:rsidR="009661E0">
        <w:rPr>
          <w:szCs w:val="20"/>
        </w:rPr>
        <w:t>enable</w:t>
      </w:r>
      <w:r>
        <w:rPr>
          <w:szCs w:val="20"/>
        </w:rPr>
        <w:t xml:space="preserve"> the Committee </w:t>
      </w:r>
      <w:r w:rsidR="009661E0">
        <w:rPr>
          <w:szCs w:val="20"/>
        </w:rPr>
        <w:t>to</w:t>
      </w:r>
      <w:r>
        <w:rPr>
          <w:szCs w:val="20"/>
        </w:rPr>
        <w:t xml:space="preserve"> fulfil an advisory function. </w:t>
      </w:r>
    </w:p>
    <w:p w14:paraId="64624374" w14:textId="09BA4110" w:rsidR="00EB7346" w:rsidRPr="00321853" w:rsidRDefault="00EB7346" w:rsidP="009661E0">
      <w:pPr>
        <w:pStyle w:val="AGLBodycopy"/>
        <w:jc w:val="both"/>
        <w:rPr>
          <w:szCs w:val="20"/>
        </w:rPr>
      </w:pPr>
      <w:r>
        <w:rPr>
          <w:szCs w:val="20"/>
        </w:rPr>
        <w:t xml:space="preserve">Should the ESB decide to establish the Committee as a determining body, we </w:t>
      </w:r>
      <w:r w:rsidR="00544360">
        <w:rPr>
          <w:szCs w:val="20"/>
        </w:rPr>
        <w:t xml:space="preserve">would recommend </w:t>
      </w:r>
      <w:r>
        <w:rPr>
          <w:szCs w:val="20"/>
        </w:rPr>
        <w:t xml:space="preserve">that the membership </w:t>
      </w:r>
      <w:r w:rsidR="00544360">
        <w:rPr>
          <w:szCs w:val="20"/>
        </w:rPr>
        <w:t>r</w:t>
      </w:r>
      <w:r>
        <w:rPr>
          <w:szCs w:val="20"/>
        </w:rPr>
        <w:t xml:space="preserve">equire greater participation of registered participants to ensure any decisions appropriately reflect the diversity of businesses operating in DER.  </w:t>
      </w:r>
    </w:p>
    <w:p w14:paraId="5D26F1BD" w14:textId="07D81D5A" w:rsidR="00C11CC1" w:rsidRPr="00431F57" w:rsidRDefault="00C11CC1" w:rsidP="00C11CC1">
      <w:pPr>
        <w:pStyle w:val="AGLBodycopy"/>
        <w:jc w:val="both"/>
        <w:rPr>
          <w:i/>
          <w:iCs/>
          <w:szCs w:val="20"/>
        </w:rPr>
      </w:pPr>
      <w:r w:rsidRPr="00431F57">
        <w:rPr>
          <w:i/>
          <w:iCs/>
          <w:szCs w:val="20"/>
        </w:rPr>
        <w:t xml:space="preserve">Q7. Do you support the proposed terms and selection arrangements? Please provide reasons. </w:t>
      </w:r>
    </w:p>
    <w:p w14:paraId="5DC313FB" w14:textId="507C3E56" w:rsidR="00C11CC1" w:rsidRPr="00431F57" w:rsidRDefault="00431F57" w:rsidP="00C11CC1">
      <w:pPr>
        <w:pStyle w:val="AGLBodycopy"/>
        <w:jc w:val="both"/>
        <w:rPr>
          <w:szCs w:val="20"/>
        </w:rPr>
      </w:pPr>
      <w:r>
        <w:rPr>
          <w:szCs w:val="20"/>
        </w:rPr>
        <w:t xml:space="preserve">AGL would support the development of an appropriate Code of Conduct to manage any conflict of interest risks in the Committee membership. </w:t>
      </w:r>
    </w:p>
    <w:sectPr w:rsidR="00C11CC1" w:rsidRPr="00431F57" w:rsidSect="00345B5C">
      <w:headerReference w:type="even" r:id="rId13"/>
      <w:headerReference w:type="default" r:id="rId14"/>
      <w:footerReference w:type="even" r:id="rId15"/>
      <w:footerReference w:type="default" r:id="rId16"/>
      <w:headerReference w:type="first" r:id="rId17"/>
      <w:footerReference w:type="first" r:id="rId18"/>
      <w:pgSz w:w="11900" w:h="16840"/>
      <w:pgMar w:top="3512" w:right="1127" w:bottom="1440" w:left="1276" w:header="708" w:footer="1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22227" w14:textId="77777777" w:rsidR="00622707" w:rsidRDefault="00622707" w:rsidP="00292484">
      <w:r>
        <w:separator/>
      </w:r>
    </w:p>
  </w:endnote>
  <w:endnote w:type="continuationSeparator" w:id="0">
    <w:p w14:paraId="78E5BEC4" w14:textId="77777777" w:rsidR="00622707" w:rsidRDefault="00622707" w:rsidP="00292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Titillium WebRegular">
    <w:altName w:val="Calibri"/>
    <w:charset w:val="00"/>
    <w:family w:val="auto"/>
    <w:pitch w:val="variable"/>
    <w:sig w:usb0="00000007" w:usb1="00000001" w:usb2="00000000" w:usb3="00000000" w:csb0="00000093" w:csb1="00000000"/>
  </w:font>
  <w:font w:name="TitilliumWeb-SemiBold">
    <w:altName w:val="Calibri"/>
    <w:panose1 w:val="00000000000000000000"/>
    <w:charset w:val="4D"/>
    <w:family w:val="auto"/>
    <w:notTrueType/>
    <w:pitch w:val="default"/>
    <w:sig w:usb0="00000003" w:usb1="00000000" w:usb2="00000000" w:usb3="00000000" w:csb0="00000001" w:csb1="00000000"/>
  </w:font>
  <w:font w:name="TitilliumWeb-Bold">
    <w:altName w:val="Calibri"/>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Titillium WebBold">
    <w:altName w:val="Calibri"/>
    <w:charset w:val="00"/>
    <w:family w:val="auto"/>
    <w:pitch w:val="variable"/>
    <w:sig w:usb0="00000003" w:usb1="00000000" w:usb2="00000000" w:usb3="00000000" w:csb0="00000001" w:csb1="00000000"/>
  </w:font>
  <w:font w:name="Titillium WebLight">
    <w:altName w:val="Calibri"/>
    <w:charset w:val="00"/>
    <w:family w:val="auto"/>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25521" w14:textId="77777777" w:rsidR="009D6B94" w:rsidRDefault="009D6B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2038188"/>
      <w:docPartObj>
        <w:docPartGallery w:val="Page Numbers (Bottom of Page)"/>
        <w:docPartUnique/>
      </w:docPartObj>
    </w:sdtPr>
    <w:sdtEndPr>
      <w:rPr>
        <w:noProof/>
      </w:rPr>
    </w:sdtEndPr>
    <w:sdtContent>
      <w:p w14:paraId="37138BEC" w14:textId="72C3AE1E" w:rsidR="009D6B94" w:rsidRDefault="009D6B94">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03EBB827" w14:textId="77777777" w:rsidR="009D6B94" w:rsidRDefault="009D6B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00F96" w14:textId="77777777" w:rsidR="009D6B94" w:rsidRDefault="009D6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57A5A" w14:textId="77777777" w:rsidR="00622707" w:rsidRDefault="00622707" w:rsidP="00292484">
      <w:bookmarkStart w:id="0" w:name="_Hlk482108426"/>
      <w:bookmarkEnd w:id="0"/>
      <w:r>
        <w:separator/>
      </w:r>
    </w:p>
  </w:footnote>
  <w:footnote w:type="continuationSeparator" w:id="0">
    <w:p w14:paraId="0154CE83" w14:textId="77777777" w:rsidR="00622707" w:rsidRDefault="00622707" w:rsidP="00292484">
      <w:r>
        <w:continuationSeparator/>
      </w:r>
    </w:p>
  </w:footnote>
  <w:footnote w:id="1">
    <w:p w14:paraId="40512683" w14:textId="1795F979" w:rsidR="00D9013C" w:rsidRPr="00485419" w:rsidRDefault="00D9013C" w:rsidP="00485419">
      <w:pPr>
        <w:pStyle w:val="FootnoteText"/>
        <w:rPr>
          <w:sz w:val="16"/>
          <w:szCs w:val="16"/>
          <w:lang w:val="en-AU"/>
        </w:rPr>
      </w:pPr>
      <w:r w:rsidRPr="00485419">
        <w:rPr>
          <w:rStyle w:val="FootnoteReference"/>
          <w:sz w:val="16"/>
          <w:szCs w:val="16"/>
        </w:rPr>
        <w:footnoteRef/>
      </w:r>
      <w:r w:rsidRPr="00485419">
        <w:rPr>
          <w:sz w:val="16"/>
          <w:szCs w:val="16"/>
        </w:rPr>
        <w:t xml:space="preserve"> For further information regarding AGL’s Virtual Power Plant, currently available to customers in New South Wales, Queensland, South Australia and Victoria please refer to https://www.agl.com.au/solar-renewables/solar-energy/bring-your-own-battery?cide=semr&amp;gclid=EAIaIQobChMIicjKmKuP5wIVyjUrCh2eXwvVEAAYASAAEgLZRPD_BwE&amp;gclsrc=aw.ds.</w:t>
      </w:r>
    </w:p>
  </w:footnote>
  <w:footnote w:id="2">
    <w:p w14:paraId="5B7C3A65" w14:textId="2F9B16CF" w:rsidR="00D9013C" w:rsidRPr="00485419" w:rsidRDefault="00D9013C" w:rsidP="00485419">
      <w:pPr>
        <w:pStyle w:val="FootnoteText"/>
        <w:rPr>
          <w:sz w:val="16"/>
          <w:szCs w:val="16"/>
          <w:lang w:val="en-AU"/>
        </w:rPr>
      </w:pPr>
      <w:r w:rsidRPr="00485419">
        <w:rPr>
          <w:rStyle w:val="FootnoteReference"/>
          <w:sz w:val="16"/>
          <w:szCs w:val="16"/>
        </w:rPr>
        <w:footnoteRef/>
      </w:r>
      <w:r w:rsidRPr="00485419">
        <w:rPr>
          <w:sz w:val="16"/>
          <w:szCs w:val="16"/>
        </w:rPr>
        <w:t xml:space="preserve"> See further, AGL EV Plan, available at </w:t>
      </w:r>
      <w:hyperlink r:id="rId1" w:history="1">
        <w:r w:rsidRPr="00485419">
          <w:rPr>
            <w:rStyle w:val="Hyperlink"/>
            <w:sz w:val="16"/>
            <w:szCs w:val="16"/>
          </w:rPr>
          <w:t>https://www.agl.com.au/electric-vehicles</w:t>
        </w:r>
      </w:hyperlink>
      <w:r w:rsidRPr="00485419">
        <w:rPr>
          <w:sz w:val="16"/>
          <w:szCs w:val="16"/>
        </w:rPr>
        <w:t xml:space="preserve">. </w:t>
      </w:r>
    </w:p>
  </w:footnote>
  <w:footnote w:id="3">
    <w:p w14:paraId="3D73560E" w14:textId="77777777" w:rsidR="00D9013C" w:rsidRPr="00485419" w:rsidRDefault="00D9013C" w:rsidP="00485419">
      <w:pPr>
        <w:pStyle w:val="FootnoteText"/>
        <w:rPr>
          <w:sz w:val="16"/>
          <w:szCs w:val="16"/>
        </w:rPr>
      </w:pPr>
      <w:r w:rsidRPr="00485419">
        <w:rPr>
          <w:rStyle w:val="FootnoteReference"/>
          <w:sz w:val="16"/>
          <w:szCs w:val="16"/>
        </w:rPr>
        <w:footnoteRef/>
      </w:r>
      <w:r w:rsidRPr="00485419">
        <w:rPr>
          <w:sz w:val="16"/>
          <w:szCs w:val="16"/>
        </w:rPr>
        <w:t xml:space="preserve"> See further, AGL Peak Energy Rewards Managed for You, available to existing AGL homeowners in New South Wales with a digital</w:t>
      </w:r>
    </w:p>
    <w:p w14:paraId="46CA1DED" w14:textId="0CB93772" w:rsidR="00D9013C" w:rsidRPr="00485419" w:rsidRDefault="00D9013C" w:rsidP="00485419">
      <w:pPr>
        <w:pStyle w:val="FootnoteText"/>
        <w:rPr>
          <w:sz w:val="16"/>
          <w:szCs w:val="16"/>
          <w:lang w:val="en-AU"/>
        </w:rPr>
      </w:pPr>
      <w:r w:rsidRPr="00485419">
        <w:rPr>
          <w:sz w:val="16"/>
          <w:szCs w:val="16"/>
        </w:rPr>
        <w:t>smart meter, available at https://www.agl.com.au/solar-renewables/projects/peak-energy-rewards-managed-for-you.</w:t>
      </w:r>
    </w:p>
  </w:footnote>
  <w:footnote w:id="4">
    <w:p w14:paraId="3C1DA85C" w14:textId="77777777" w:rsidR="00477A4C" w:rsidRPr="00485419" w:rsidRDefault="00477A4C" w:rsidP="00477A4C">
      <w:pPr>
        <w:pStyle w:val="FootnoteText"/>
        <w:jc w:val="both"/>
        <w:rPr>
          <w:sz w:val="16"/>
          <w:szCs w:val="16"/>
          <w:lang w:val="en-AU"/>
        </w:rPr>
      </w:pPr>
      <w:r w:rsidRPr="00485419">
        <w:rPr>
          <w:rStyle w:val="FootnoteReference"/>
          <w:sz w:val="16"/>
          <w:szCs w:val="16"/>
        </w:rPr>
        <w:footnoteRef/>
      </w:r>
      <w:r w:rsidRPr="00485419">
        <w:rPr>
          <w:sz w:val="16"/>
          <w:szCs w:val="16"/>
        </w:rPr>
        <w:t xml:space="preserve"> For further information regarding AGL’s ARENA SA VPP program, including the two milestone reports published to date, please refer to https://arena.gov.au/projects/agl-virtual-power-plant/.</w:t>
      </w:r>
    </w:p>
  </w:footnote>
  <w:footnote w:id="5">
    <w:p w14:paraId="58D09827" w14:textId="77777777" w:rsidR="00477A4C" w:rsidRPr="00485419" w:rsidRDefault="00477A4C" w:rsidP="00477A4C">
      <w:pPr>
        <w:pStyle w:val="FootnoteText"/>
        <w:rPr>
          <w:sz w:val="16"/>
          <w:szCs w:val="16"/>
          <w:lang w:val="en-AU"/>
        </w:rPr>
      </w:pPr>
      <w:r w:rsidRPr="00485419">
        <w:rPr>
          <w:rStyle w:val="FootnoteReference"/>
          <w:sz w:val="16"/>
          <w:szCs w:val="16"/>
        </w:rPr>
        <w:footnoteRef/>
      </w:r>
      <w:r w:rsidRPr="00485419">
        <w:rPr>
          <w:sz w:val="16"/>
          <w:szCs w:val="16"/>
        </w:rPr>
        <w:t xml:space="preserve"> 2ESB cover note on UNSW voltage report: https://prodenergycouncil.energy.slicedtech.com.au/sites/prod.energycouncil/files/200502%20ESB%20cover%20note%20on%20UNSW%20Voltage%20 Report.pdf. </w:t>
      </w:r>
    </w:p>
  </w:footnote>
  <w:footnote w:id="6">
    <w:p w14:paraId="5569FBFD" w14:textId="77777777" w:rsidR="00477A4C" w:rsidRPr="00485419" w:rsidRDefault="00477A4C" w:rsidP="00477A4C">
      <w:pPr>
        <w:pStyle w:val="FootnoteText"/>
        <w:rPr>
          <w:sz w:val="16"/>
          <w:szCs w:val="16"/>
          <w:lang w:val="en-AU"/>
        </w:rPr>
      </w:pPr>
      <w:r w:rsidRPr="00485419">
        <w:rPr>
          <w:rStyle w:val="FootnoteReference"/>
          <w:sz w:val="16"/>
          <w:szCs w:val="16"/>
        </w:rPr>
        <w:footnoteRef/>
      </w:r>
      <w:r w:rsidRPr="00485419">
        <w:rPr>
          <w:sz w:val="16"/>
          <w:szCs w:val="16"/>
        </w:rPr>
        <w:t xml:space="preserve"> </w:t>
      </w:r>
      <w:r w:rsidRPr="00485419">
        <w:rPr>
          <w:sz w:val="16"/>
          <w:szCs w:val="16"/>
          <w:lang w:val="en-AU"/>
        </w:rPr>
        <w:t xml:space="preserve">See further AGL submission in response to the AER on assessing distribution energy integration expenditure (20 January 2020), Available at </w:t>
      </w:r>
      <w:hyperlink r:id="rId2" w:history="1">
        <w:r w:rsidRPr="00485419">
          <w:rPr>
            <w:rStyle w:val="Hyperlink"/>
            <w:sz w:val="16"/>
            <w:szCs w:val="16"/>
          </w:rPr>
          <w:t>https://thehub.agl.com.au/articles/2020/01/submission-to-aer-on-assessing-distributed-energy-integration-expenditure</w:t>
        </w:r>
      </w:hyperlink>
      <w:r w:rsidRPr="00485419">
        <w:rPr>
          <w:rStyle w:val="Hyperlink"/>
          <w:sz w:val="16"/>
          <w:szCs w:val="16"/>
        </w:rPr>
        <w:t xml:space="preserve">. </w:t>
      </w:r>
    </w:p>
  </w:footnote>
  <w:footnote w:id="7">
    <w:p w14:paraId="72827642" w14:textId="5E128901" w:rsidR="001B2256" w:rsidRPr="00485419" w:rsidRDefault="001B2256" w:rsidP="001B2256">
      <w:pPr>
        <w:pStyle w:val="FootnoteText"/>
        <w:rPr>
          <w:sz w:val="16"/>
          <w:szCs w:val="16"/>
          <w:lang w:val="en-AU"/>
        </w:rPr>
      </w:pPr>
      <w:r w:rsidRPr="00485419">
        <w:rPr>
          <w:rStyle w:val="FootnoteReference"/>
          <w:sz w:val="16"/>
          <w:szCs w:val="16"/>
        </w:rPr>
        <w:footnoteRef/>
      </w:r>
      <w:r w:rsidRPr="00485419">
        <w:rPr>
          <w:sz w:val="16"/>
          <w:szCs w:val="16"/>
        </w:rPr>
        <w:t xml:space="preserve"> </w:t>
      </w:r>
      <w:r w:rsidR="00485419" w:rsidRPr="00485419">
        <w:rPr>
          <w:sz w:val="16"/>
          <w:szCs w:val="16"/>
          <w:lang w:val="en-AU"/>
        </w:rPr>
        <w:t xml:space="preserve">See further, AEMC, </w:t>
      </w:r>
      <w:r w:rsidR="00485419" w:rsidRPr="00485419">
        <w:rPr>
          <w:sz w:val="16"/>
          <w:szCs w:val="16"/>
        </w:rPr>
        <w:t>Technical standards for distributed energy resources, Consultation Paper, June 2020, Available at</w:t>
      </w:r>
      <w:r w:rsidR="00485419" w:rsidRPr="00485419">
        <w:rPr>
          <w:sz w:val="16"/>
          <w:szCs w:val="16"/>
          <w:lang w:val="en-AU"/>
        </w:rPr>
        <w:t xml:space="preserve"> </w:t>
      </w:r>
      <w:hyperlink r:id="rId3" w:history="1">
        <w:r w:rsidR="00485419" w:rsidRPr="00485419">
          <w:rPr>
            <w:rStyle w:val="Hyperlink"/>
            <w:sz w:val="16"/>
            <w:szCs w:val="16"/>
          </w:rPr>
          <w:t>https://www.aemc.gov.au/rule-changes/technical-standards-distributed-energy-resources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7C65" w14:textId="7D38E251" w:rsidR="009D6B94" w:rsidRDefault="009D6B94">
    <w:pPr>
      <w:pStyle w:val="Header"/>
      <w:framePr w:wrap="aroun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D6330" w14:textId="44CC1B8C" w:rsidR="009D6B94" w:rsidRDefault="009D6B94" w:rsidP="007E3BB4">
    <w:r>
      <w:rPr>
        <w:rFonts w:hint="eastAsia"/>
        <w:noProof/>
        <w:lang w:eastAsia="en-AU"/>
      </w:rPr>
      <mc:AlternateContent>
        <mc:Choice Requires="wps">
          <w:drawing>
            <wp:anchor distT="0" distB="0" distL="114300" distR="114300" simplePos="0" relativeHeight="251657216" behindDoc="0" locked="1" layoutInCell="1" allowOverlap="1" wp14:anchorId="17465D34" wp14:editId="0172511C">
              <wp:simplePos x="0" y="0"/>
              <wp:positionH relativeFrom="column">
                <wp:align>center</wp:align>
              </wp:positionH>
              <wp:positionV relativeFrom="page">
                <wp:posOffset>1623848</wp:posOffset>
              </wp:positionV>
              <wp:extent cx="594360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943600" cy="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F3960D0" id="Straight Connector 5" o:spid="_x0000_s1026" style="position:absolute;z-index:251657216;visibility:visible;mso-wrap-style:square;mso-width-percent:0;mso-wrap-distance-left:9pt;mso-wrap-distance-top:0;mso-wrap-distance-right:9pt;mso-wrap-distance-bottom:0;mso-position-horizontal:center;mso-position-horizontal-relative:text;mso-position-vertical:absolute;mso-position-vertical-relative:page;mso-width-percent:0;mso-width-relative:margin" from="0,127.85pt" to="468pt,1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" strokecolor="black [3213]" strokeweight=".25pt">
              <w10:wrap anchory="page"/>
              <w10:anchorlock/>
            </v:line>
          </w:pict>
        </mc:Fallback>
      </mc:AlternateContent>
    </w:r>
    <w:r>
      <w:rPr>
        <w:rFonts w:hint="eastAsia"/>
        <w:noProof/>
        <w:lang w:eastAsia="en-AU"/>
      </w:rPr>
      <w:drawing>
        <wp:anchor distT="0" distB="0" distL="114300" distR="114300" simplePos="0" relativeHeight="251656192" behindDoc="0" locked="0" layoutInCell="1" allowOverlap="1" wp14:anchorId="199E6203" wp14:editId="6C22C177">
          <wp:simplePos x="0" y="0"/>
          <wp:positionH relativeFrom="column">
            <wp:align>left</wp:align>
          </wp:positionH>
          <wp:positionV relativeFrom="page">
            <wp:posOffset>677917</wp:posOffset>
          </wp:positionV>
          <wp:extent cx="831600" cy="788400"/>
          <wp:effectExtent l="0" t="0" r="6985" b="0"/>
          <wp:wrapTight wrapText="bothSides">
            <wp:wrapPolygon edited="0">
              <wp:start x="0" y="0"/>
              <wp:lineTo x="0" y="20886"/>
              <wp:lineTo x="21286" y="20886"/>
              <wp:lineTo x="21286"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L_Logo_Vertical_RGB.jpg"/>
                  <pic:cNvPicPr/>
                </pic:nvPicPr>
                <pic:blipFill>
                  <a:blip r:embed="rId1">
                    <a:extLst>
                      <a:ext uri="{28A0092B-C50C-407E-A947-70E740481C1C}">
                        <a14:useLocalDpi xmlns:a14="http://schemas.microsoft.com/office/drawing/2010/main" val="0"/>
                      </a:ext>
                    </a:extLst>
                  </a:blip>
                  <a:stretch>
                    <a:fillRect/>
                  </a:stretch>
                </pic:blipFill>
                <pic:spPr>
                  <a:xfrm>
                    <a:off x="0" y="0"/>
                    <a:ext cx="831600" cy="7884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A40B947" w14:textId="77777777" w:rsidR="009D6B94" w:rsidRDefault="009D6B94" w:rsidP="002120D2">
    <w:pPr>
      <w:rPr>
        <w:highlight w:val="yellow"/>
      </w:rPr>
    </w:pPr>
  </w:p>
  <w:p w14:paraId="462701A2" w14:textId="77777777" w:rsidR="009D6B94" w:rsidRDefault="009D6B94" w:rsidP="002120D2">
    <w:pPr>
      <w:rPr>
        <w:highlight w:val="yellow"/>
      </w:rPr>
    </w:pPr>
  </w:p>
  <w:p w14:paraId="1C22258F" w14:textId="77777777" w:rsidR="009D6B94" w:rsidRDefault="009D6B94" w:rsidP="002120D2">
    <w:pPr>
      <w:rPr>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51D00" w14:textId="5B4B573B" w:rsidR="009D6B94" w:rsidRPr="002120D2" w:rsidRDefault="009D6B94" w:rsidP="00E821C3">
    <w:pPr>
      <w:pStyle w:val="Header"/>
      <w:framePr w:wrap="around"/>
      <w:rPr>
        <w:rStyle w:val="Blue"/>
      </w:rPr>
    </w:pPr>
    <w:r w:rsidRPr="002120D2">
      <w:rPr>
        <w:rStyle w:val="Blue"/>
      </w:rPr>
      <w:t>AGL Energy Limited</w:t>
    </w:r>
  </w:p>
  <w:p w14:paraId="34D638BB" w14:textId="77777777" w:rsidR="009D6B94" w:rsidRPr="00E821C3" w:rsidRDefault="009D6B94" w:rsidP="00E821C3">
    <w:pPr>
      <w:pStyle w:val="Header"/>
      <w:framePr w:wrap="around"/>
    </w:pPr>
    <w:r w:rsidRPr="00E821C3">
      <w:t>ABN: 74 115 061 375</w:t>
    </w:r>
  </w:p>
  <w:p w14:paraId="194B2C76" w14:textId="77777777" w:rsidR="009D6B94" w:rsidRPr="00E821C3" w:rsidRDefault="009D6B94" w:rsidP="00E821C3">
    <w:pPr>
      <w:pStyle w:val="Header"/>
      <w:framePr w:wrap="around"/>
    </w:pPr>
    <w:r w:rsidRPr="00E821C3">
      <w:t>Level 24, 200 George St</w:t>
    </w:r>
  </w:p>
  <w:p w14:paraId="73F56C20" w14:textId="77777777" w:rsidR="009D6B94" w:rsidRPr="00E821C3" w:rsidRDefault="009D6B94" w:rsidP="00E821C3">
    <w:pPr>
      <w:pStyle w:val="Header"/>
      <w:framePr w:wrap="around"/>
    </w:pPr>
    <w:r w:rsidRPr="00E821C3">
      <w:t>Sydney NSW 2000</w:t>
    </w:r>
  </w:p>
  <w:p w14:paraId="29420FD9" w14:textId="77777777" w:rsidR="009D6B94" w:rsidRPr="00E821C3" w:rsidRDefault="009D6B94" w:rsidP="00E821C3">
    <w:pPr>
      <w:pStyle w:val="Header"/>
      <w:framePr w:wrap="around"/>
    </w:pPr>
    <w:r w:rsidRPr="00E821C3">
      <w:t>Locked Bag 1837</w:t>
    </w:r>
  </w:p>
  <w:p w14:paraId="6666B3FF" w14:textId="77777777" w:rsidR="009D6B94" w:rsidRPr="00E821C3" w:rsidRDefault="009D6B94" w:rsidP="00E821C3">
    <w:pPr>
      <w:pStyle w:val="Header"/>
      <w:framePr w:wrap="around"/>
    </w:pPr>
    <w:r w:rsidRPr="00E821C3">
      <w:t>St Leonards NSW 2065</w:t>
    </w:r>
  </w:p>
  <w:p w14:paraId="0D14385F" w14:textId="77777777" w:rsidR="009D6B94" w:rsidRPr="00E821C3" w:rsidRDefault="009D6B94" w:rsidP="00E821C3">
    <w:pPr>
      <w:pStyle w:val="Header"/>
      <w:framePr w:wrap="around"/>
    </w:pPr>
    <w:r w:rsidRPr="002120D2">
      <w:rPr>
        <w:rStyle w:val="Blue"/>
      </w:rPr>
      <w:t>t:</w:t>
    </w:r>
    <w:r w:rsidRPr="00E821C3">
      <w:t xml:space="preserve"> 02 9921 2999</w:t>
    </w:r>
  </w:p>
  <w:p w14:paraId="5BC35C37" w14:textId="77777777" w:rsidR="009D6B94" w:rsidRPr="00E821C3" w:rsidRDefault="009D6B94" w:rsidP="00E821C3">
    <w:pPr>
      <w:pStyle w:val="Header"/>
      <w:framePr w:wrap="around"/>
    </w:pPr>
    <w:r w:rsidRPr="002120D2">
      <w:rPr>
        <w:rStyle w:val="Blue"/>
      </w:rPr>
      <w:t>f:</w:t>
    </w:r>
    <w:r w:rsidRPr="00E821C3">
      <w:t xml:space="preserve"> 02 9921 2552</w:t>
    </w:r>
  </w:p>
  <w:p w14:paraId="70B5A3A9" w14:textId="77777777" w:rsidR="009D6B94" w:rsidRPr="00E821C3" w:rsidRDefault="009D6B94" w:rsidP="00E821C3">
    <w:pPr>
      <w:pStyle w:val="Header"/>
      <w:framePr w:wrap="around"/>
    </w:pPr>
    <w:r w:rsidRPr="00E821C3">
      <w:t>agl.com.au</w:t>
    </w:r>
  </w:p>
  <w:p w14:paraId="03548A00" w14:textId="5DD10FA4" w:rsidR="009D6B94" w:rsidRPr="00EE204B" w:rsidRDefault="009D6B94" w:rsidP="00EE204B">
    <w:pPr>
      <w:pStyle w:val="Keyline"/>
    </w:pPr>
    <w:r w:rsidRPr="00252DAA">
      <w:rPr>
        <w:rFonts w:hint="eastAsia"/>
        <w:noProof/>
        <w:highlight w:val="yellow"/>
        <w:lang w:eastAsia="en-AU"/>
      </w:rPr>
      <w:drawing>
        <wp:anchor distT="720090" distB="215900" distL="114300" distR="114300" simplePos="0" relativeHeight="251658240" behindDoc="1" locked="1" layoutInCell="1" allowOverlap="1" wp14:anchorId="137DFE99" wp14:editId="639CF704">
          <wp:simplePos x="0" y="0"/>
          <wp:positionH relativeFrom="page">
            <wp:posOffset>802640</wp:posOffset>
          </wp:positionH>
          <wp:positionV relativeFrom="page">
            <wp:posOffset>821055</wp:posOffset>
          </wp:positionV>
          <wp:extent cx="1029600" cy="979200"/>
          <wp:effectExtent l="0" t="0" r="0" b="0"/>
          <wp:wrapTopAndBottom/>
          <wp:docPr id="32" name="Picture 32" descr="Principals Data:Studio:AGL:AGL0026_PowerPoint:Links:Logo:AGL_Logo_Vertic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cipals Data:Studio:AGL:AGL0026_PowerPoint:Links:Logo:AGL_Logo_Vertical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600" cy="9792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06AFA"/>
    <w:multiLevelType w:val="hybridMultilevel"/>
    <w:tmpl w:val="EEC83134"/>
    <w:lvl w:ilvl="0" w:tplc="FB687384">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D5C386B"/>
    <w:multiLevelType w:val="hybridMultilevel"/>
    <w:tmpl w:val="040A419C"/>
    <w:lvl w:ilvl="0" w:tplc="E4F2A25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1B5AF4"/>
    <w:multiLevelType w:val="hybridMultilevel"/>
    <w:tmpl w:val="0FD4A9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7E86737"/>
    <w:multiLevelType w:val="hybridMultilevel"/>
    <w:tmpl w:val="D9B23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DD7D14"/>
    <w:multiLevelType w:val="hybridMultilevel"/>
    <w:tmpl w:val="763C4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8E7BC5"/>
    <w:multiLevelType w:val="hybridMultilevel"/>
    <w:tmpl w:val="1FFC6194"/>
    <w:lvl w:ilvl="0" w:tplc="DF9E66B8">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6C4371"/>
    <w:multiLevelType w:val="hybridMultilevel"/>
    <w:tmpl w:val="FF8096EC"/>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98D2295"/>
    <w:multiLevelType w:val="hybridMultilevel"/>
    <w:tmpl w:val="1FFC6194"/>
    <w:lvl w:ilvl="0" w:tplc="DF9E66B8">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937BC9"/>
    <w:multiLevelType w:val="hybridMultilevel"/>
    <w:tmpl w:val="20C693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2656C06"/>
    <w:multiLevelType w:val="hybridMultilevel"/>
    <w:tmpl w:val="D542E2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85F16D2"/>
    <w:multiLevelType w:val="hybridMultilevel"/>
    <w:tmpl w:val="39003D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805C64"/>
    <w:multiLevelType w:val="hybridMultilevel"/>
    <w:tmpl w:val="35C887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DA0F15"/>
    <w:multiLevelType w:val="hybridMultilevel"/>
    <w:tmpl w:val="73027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DEF64B3"/>
    <w:multiLevelType w:val="hybridMultilevel"/>
    <w:tmpl w:val="095C6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182D00"/>
    <w:multiLevelType w:val="hybridMultilevel"/>
    <w:tmpl w:val="26C6C9B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5A1B9C"/>
    <w:multiLevelType w:val="hybridMultilevel"/>
    <w:tmpl w:val="BBC4BF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8AA5C5F"/>
    <w:multiLevelType w:val="hybridMultilevel"/>
    <w:tmpl w:val="00F2C2EC"/>
    <w:lvl w:ilvl="0" w:tplc="08090001">
      <w:start w:val="1"/>
      <w:numFmt w:val="bullet"/>
      <w:lvlText w:val=""/>
      <w:lvlJc w:val="left"/>
      <w:pPr>
        <w:ind w:left="360" w:hanging="360"/>
      </w:pPr>
      <w:rPr>
        <w:rFonts w:ascii="Symbol" w:hAnsi="Symbol" w:hint="default"/>
      </w:rPr>
    </w:lvl>
    <w:lvl w:ilvl="1" w:tplc="5226F22C">
      <w:numFmt w:val="bullet"/>
      <w:lvlText w:val="•"/>
      <w:lvlJc w:val="left"/>
      <w:pPr>
        <w:ind w:left="1080" w:hanging="360"/>
      </w:pPr>
      <w:rPr>
        <w:rFonts w:ascii="Arial" w:eastAsiaTheme="minorEastAsi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979693B"/>
    <w:multiLevelType w:val="hybridMultilevel"/>
    <w:tmpl w:val="7408B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AA56A18"/>
    <w:multiLevelType w:val="hybridMultilevel"/>
    <w:tmpl w:val="D518B3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5"/>
  </w:num>
  <w:num w:numId="4">
    <w:abstractNumId w:val="0"/>
  </w:num>
  <w:num w:numId="5">
    <w:abstractNumId w:val="2"/>
  </w:num>
  <w:num w:numId="6">
    <w:abstractNumId w:val="7"/>
  </w:num>
  <w:num w:numId="7">
    <w:abstractNumId w:val="8"/>
  </w:num>
  <w:num w:numId="8">
    <w:abstractNumId w:val="11"/>
  </w:num>
  <w:num w:numId="9">
    <w:abstractNumId w:val="9"/>
  </w:num>
  <w:num w:numId="10">
    <w:abstractNumId w:val="16"/>
  </w:num>
  <w:num w:numId="11">
    <w:abstractNumId w:val="15"/>
  </w:num>
  <w:num w:numId="12">
    <w:abstractNumId w:val="18"/>
  </w:num>
  <w:num w:numId="13">
    <w:abstractNumId w:val="4"/>
  </w:num>
  <w:num w:numId="14">
    <w:abstractNumId w:val="3"/>
  </w:num>
  <w:num w:numId="15">
    <w:abstractNumId w:val="13"/>
  </w:num>
  <w:num w:numId="16">
    <w:abstractNumId w:val="10"/>
  </w:num>
  <w:num w:numId="17">
    <w:abstractNumId w:val="6"/>
  </w:num>
  <w:num w:numId="18">
    <w:abstractNumId w:val="17"/>
  </w:num>
  <w:num w:numId="1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05C"/>
    <w:rsid w:val="00001D16"/>
    <w:rsid w:val="00002A2C"/>
    <w:rsid w:val="00002D01"/>
    <w:rsid w:val="00003390"/>
    <w:rsid w:val="000047AB"/>
    <w:rsid w:val="00006013"/>
    <w:rsid w:val="000064E7"/>
    <w:rsid w:val="00007B74"/>
    <w:rsid w:val="00011A5C"/>
    <w:rsid w:val="000137F4"/>
    <w:rsid w:val="00015C0F"/>
    <w:rsid w:val="00017233"/>
    <w:rsid w:val="00023504"/>
    <w:rsid w:val="00027CE9"/>
    <w:rsid w:val="00031BA5"/>
    <w:rsid w:val="00031EF6"/>
    <w:rsid w:val="000331D8"/>
    <w:rsid w:val="000335D2"/>
    <w:rsid w:val="00035313"/>
    <w:rsid w:val="0004215A"/>
    <w:rsid w:val="00043E17"/>
    <w:rsid w:val="00043F1B"/>
    <w:rsid w:val="000464C1"/>
    <w:rsid w:val="00046550"/>
    <w:rsid w:val="0004715F"/>
    <w:rsid w:val="000476D6"/>
    <w:rsid w:val="00051D32"/>
    <w:rsid w:val="00051F62"/>
    <w:rsid w:val="00053066"/>
    <w:rsid w:val="00056098"/>
    <w:rsid w:val="00061A1F"/>
    <w:rsid w:val="0006658C"/>
    <w:rsid w:val="00067833"/>
    <w:rsid w:val="0007126E"/>
    <w:rsid w:val="0007266D"/>
    <w:rsid w:val="000755C0"/>
    <w:rsid w:val="00081CC3"/>
    <w:rsid w:val="0008509F"/>
    <w:rsid w:val="00085E86"/>
    <w:rsid w:val="0008665C"/>
    <w:rsid w:val="00087FBF"/>
    <w:rsid w:val="00090980"/>
    <w:rsid w:val="00091CAF"/>
    <w:rsid w:val="00094A4C"/>
    <w:rsid w:val="000A11BC"/>
    <w:rsid w:val="000A1439"/>
    <w:rsid w:val="000A17F1"/>
    <w:rsid w:val="000A1BCC"/>
    <w:rsid w:val="000A2C12"/>
    <w:rsid w:val="000A3B87"/>
    <w:rsid w:val="000A4995"/>
    <w:rsid w:val="000A4E1B"/>
    <w:rsid w:val="000A52F9"/>
    <w:rsid w:val="000B0ECD"/>
    <w:rsid w:val="000B4D9F"/>
    <w:rsid w:val="000B4F8D"/>
    <w:rsid w:val="000B55D6"/>
    <w:rsid w:val="000B5D5F"/>
    <w:rsid w:val="000B5DD6"/>
    <w:rsid w:val="000B7529"/>
    <w:rsid w:val="000C0002"/>
    <w:rsid w:val="000C0202"/>
    <w:rsid w:val="000C1434"/>
    <w:rsid w:val="000C1E4C"/>
    <w:rsid w:val="000C4908"/>
    <w:rsid w:val="000C4B93"/>
    <w:rsid w:val="000D0CAF"/>
    <w:rsid w:val="000D1080"/>
    <w:rsid w:val="000D1F1A"/>
    <w:rsid w:val="000D222E"/>
    <w:rsid w:val="000D4007"/>
    <w:rsid w:val="000D61E9"/>
    <w:rsid w:val="000D7948"/>
    <w:rsid w:val="000E10BD"/>
    <w:rsid w:val="000E2ACD"/>
    <w:rsid w:val="000E3C5A"/>
    <w:rsid w:val="000E40C4"/>
    <w:rsid w:val="000E5B13"/>
    <w:rsid w:val="000F018A"/>
    <w:rsid w:val="000F2438"/>
    <w:rsid w:val="000F66A6"/>
    <w:rsid w:val="001043FE"/>
    <w:rsid w:val="0011685C"/>
    <w:rsid w:val="00120844"/>
    <w:rsid w:val="00121253"/>
    <w:rsid w:val="0012298C"/>
    <w:rsid w:val="001279AB"/>
    <w:rsid w:val="00133B3C"/>
    <w:rsid w:val="00133DEB"/>
    <w:rsid w:val="00135614"/>
    <w:rsid w:val="00135D57"/>
    <w:rsid w:val="001363A1"/>
    <w:rsid w:val="00140880"/>
    <w:rsid w:val="00140D30"/>
    <w:rsid w:val="00142C13"/>
    <w:rsid w:val="00142F5D"/>
    <w:rsid w:val="001458AB"/>
    <w:rsid w:val="00145E70"/>
    <w:rsid w:val="00147428"/>
    <w:rsid w:val="0015090F"/>
    <w:rsid w:val="00151F5F"/>
    <w:rsid w:val="00152C8C"/>
    <w:rsid w:val="001545FC"/>
    <w:rsid w:val="00154A71"/>
    <w:rsid w:val="001578E9"/>
    <w:rsid w:val="0016038C"/>
    <w:rsid w:val="001648DD"/>
    <w:rsid w:val="00165D4C"/>
    <w:rsid w:val="00165E10"/>
    <w:rsid w:val="00171615"/>
    <w:rsid w:val="00171F4B"/>
    <w:rsid w:val="0017222D"/>
    <w:rsid w:val="00172B65"/>
    <w:rsid w:val="0017351C"/>
    <w:rsid w:val="00175891"/>
    <w:rsid w:val="00180044"/>
    <w:rsid w:val="00181701"/>
    <w:rsid w:val="00182CAA"/>
    <w:rsid w:val="001835C5"/>
    <w:rsid w:val="001858A2"/>
    <w:rsid w:val="0019262C"/>
    <w:rsid w:val="00194B5F"/>
    <w:rsid w:val="00194E21"/>
    <w:rsid w:val="00197129"/>
    <w:rsid w:val="001A4BCF"/>
    <w:rsid w:val="001A724F"/>
    <w:rsid w:val="001A7565"/>
    <w:rsid w:val="001B00FF"/>
    <w:rsid w:val="001B0F85"/>
    <w:rsid w:val="001B10A9"/>
    <w:rsid w:val="001B1DFC"/>
    <w:rsid w:val="001B2256"/>
    <w:rsid w:val="001B3E52"/>
    <w:rsid w:val="001C1945"/>
    <w:rsid w:val="001C1D2D"/>
    <w:rsid w:val="001C2260"/>
    <w:rsid w:val="001C4B56"/>
    <w:rsid w:val="001C4D7C"/>
    <w:rsid w:val="001C5358"/>
    <w:rsid w:val="001C7253"/>
    <w:rsid w:val="001D3E2D"/>
    <w:rsid w:val="001D54A6"/>
    <w:rsid w:val="001D59A0"/>
    <w:rsid w:val="001E073E"/>
    <w:rsid w:val="001E0FE6"/>
    <w:rsid w:val="001E18C3"/>
    <w:rsid w:val="001E5A95"/>
    <w:rsid w:val="001E7675"/>
    <w:rsid w:val="001F0661"/>
    <w:rsid w:val="001F0E3A"/>
    <w:rsid w:val="001F46A9"/>
    <w:rsid w:val="001F4FF6"/>
    <w:rsid w:val="001F57ED"/>
    <w:rsid w:val="001F5DC6"/>
    <w:rsid w:val="00200762"/>
    <w:rsid w:val="00205B03"/>
    <w:rsid w:val="00211599"/>
    <w:rsid w:val="002120D2"/>
    <w:rsid w:val="00212C45"/>
    <w:rsid w:val="002138F5"/>
    <w:rsid w:val="00213A6C"/>
    <w:rsid w:val="00214A0C"/>
    <w:rsid w:val="00215176"/>
    <w:rsid w:val="0022075C"/>
    <w:rsid w:val="0022288B"/>
    <w:rsid w:val="0022447E"/>
    <w:rsid w:val="002267E0"/>
    <w:rsid w:val="00230E42"/>
    <w:rsid w:val="00230FA8"/>
    <w:rsid w:val="00235BC1"/>
    <w:rsid w:val="00240839"/>
    <w:rsid w:val="00240B06"/>
    <w:rsid w:val="00240BA4"/>
    <w:rsid w:val="0024201B"/>
    <w:rsid w:val="0024306C"/>
    <w:rsid w:val="00244376"/>
    <w:rsid w:val="0024550E"/>
    <w:rsid w:val="00245912"/>
    <w:rsid w:val="00246876"/>
    <w:rsid w:val="00250213"/>
    <w:rsid w:val="00250520"/>
    <w:rsid w:val="002513B9"/>
    <w:rsid w:val="00252DAA"/>
    <w:rsid w:val="00254015"/>
    <w:rsid w:val="00254F63"/>
    <w:rsid w:val="002606CA"/>
    <w:rsid w:val="00262F78"/>
    <w:rsid w:val="0026395F"/>
    <w:rsid w:val="00264121"/>
    <w:rsid w:val="00264BD4"/>
    <w:rsid w:val="002665C4"/>
    <w:rsid w:val="00270517"/>
    <w:rsid w:val="002747D5"/>
    <w:rsid w:val="00274D1D"/>
    <w:rsid w:val="002756F3"/>
    <w:rsid w:val="00276017"/>
    <w:rsid w:val="00276664"/>
    <w:rsid w:val="00277BDD"/>
    <w:rsid w:val="00284D8E"/>
    <w:rsid w:val="00284E88"/>
    <w:rsid w:val="00291861"/>
    <w:rsid w:val="00292484"/>
    <w:rsid w:val="002942FB"/>
    <w:rsid w:val="00294428"/>
    <w:rsid w:val="002964E5"/>
    <w:rsid w:val="00297684"/>
    <w:rsid w:val="002A1D8C"/>
    <w:rsid w:val="002A226B"/>
    <w:rsid w:val="002A3F5D"/>
    <w:rsid w:val="002A47CD"/>
    <w:rsid w:val="002A727F"/>
    <w:rsid w:val="002B0D6E"/>
    <w:rsid w:val="002B4809"/>
    <w:rsid w:val="002C1202"/>
    <w:rsid w:val="002C1764"/>
    <w:rsid w:val="002C3372"/>
    <w:rsid w:val="002C375E"/>
    <w:rsid w:val="002C4BC2"/>
    <w:rsid w:val="002C6419"/>
    <w:rsid w:val="002D17D1"/>
    <w:rsid w:val="002D25CB"/>
    <w:rsid w:val="002D267A"/>
    <w:rsid w:val="002D7E30"/>
    <w:rsid w:val="002E1668"/>
    <w:rsid w:val="002E2252"/>
    <w:rsid w:val="002E2A11"/>
    <w:rsid w:val="002E588F"/>
    <w:rsid w:val="002E6F12"/>
    <w:rsid w:val="002F046C"/>
    <w:rsid w:val="002F5400"/>
    <w:rsid w:val="003007EC"/>
    <w:rsid w:val="003009E4"/>
    <w:rsid w:val="00300EAA"/>
    <w:rsid w:val="00303BD7"/>
    <w:rsid w:val="0030676C"/>
    <w:rsid w:val="00306AFE"/>
    <w:rsid w:val="00306D4B"/>
    <w:rsid w:val="00310889"/>
    <w:rsid w:val="00311D15"/>
    <w:rsid w:val="00315204"/>
    <w:rsid w:val="003153F8"/>
    <w:rsid w:val="00315625"/>
    <w:rsid w:val="00317A82"/>
    <w:rsid w:val="00321853"/>
    <w:rsid w:val="0032226F"/>
    <w:rsid w:val="00322F48"/>
    <w:rsid w:val="00331694"/>
    <w:rsid w:val="0033223A"/>
    <w:rsid w:val="0033362E"/>
    <w:rsid w:val="00333ED3"/>
    <w:rsid w:val="00334AC5"/>
    <w:rsid w:val="00334E3B"/>
    <w:rsid w:val="0033565D"/>
    <w:rsid w:val="00335DC9"/>
    <w:rsid w:val="00336B42"/>
    <w:rsid w:val="003408FE"/>
    <w:rsid w:val="0034304B"/>
    <w:rsid w:val="003430F8"/>
    <w:rsid w:val="0034344A"/>
    <w:rsid w:val="0034451A"/>
    <w:rsid w:val="003459BC"/>
    <w:rsid w:val="00345B5C"/>
    <w:rsid w:val="00345C6E"/>
    <w:rsid w:val="0034723C"/>
    <w:rsid w:val="00347D94"/>
    <w:rsid w:val="0035090F"/>
    <w:rsid w:val="00351C2A"/>
    <w:rsid w:val="00356273"/>
    <w:rsid w:val="00356A5A"/>
    <w:rsid w:val="00357440"/>
    <w:rsid w:val="00360E5E"/>
    <w:rsid w:val="00362190"/>
    <w:rsid w:val="00362A5B"/>
    <w:rsid w:val="00364DAE"/>
    <w:rsid w:val="00365922"/>
    <w:rsid w:val="00370701"/>
    <w:rsid w:val="00372E75"/>
    <w:rsid w:val="00373511"/>
    <w:rsid w:val="00375193"/>
    <w:rsid w:val="0037560F"/>
    <w:rsid w:val="0037798D"/>
    <w:rsid w:val="00380DD6"/>
    <w:rsid w:val="003813DA"/>
    <w:rsid w:val="00382A5D"/>
    <w:rsid w:val="003839A6"/>
    <w:rsid w:val="00384102"/>
    <w:rsid w:val="00384373"/>
    <w:rsid w:val="00387C46"/>
    <w:rsid w:val="00392B1B"/>
    <w:rsid w:val="00393B21"/>
    <w:rsid w:val="003952A4"/>
    <w:rsid w:val="003A1966"/>
    <w:rsid w:val="003A1BB8"/>
    <w:rsid w:val="003A4330"/>
    <w:rsid w:val="003A6B7C"/>
    <w:rsid w:val="003A7269"/>
    <w:rsid w:val="003B0BA9"/>
    <w:rsid w:val="003B0E67"/>
    <w:rsid w:val="003B149E"/>
    <w:rsid w:val="003C473F"/>
    <w:rsid w:val="003C4A64"/>
    <w:rsid w:val="003C678E"/>
    <w:rsid w:val="003D2547"/>
    <w:rsid w:val="003D2D17"/>
    <w:rsid w:val="003D2D94"/>
    <w:rsid w:val="003D31DF"/>
    <w:rsid w:val="003D7826"/>
    <w:rsid w:val="003E058F"/>
    <w:rsid w:val="003E1FA3"/>
    <w:rsid w:val="003E37A6"/>
    <w:rsid w:val="003F0B51"/>
    <w:rsid w:val="003F1008"/>
    <w:rsid w:val="003F1537"/>
    <w:rsid w:val="003F588E"/>
    <w:rsid w:val="003F66B1"/>
    <w:rsid w:val="003F77CF"/>
    <w:rsid w:val="00401D88"/>
    <w:rsid w:val="00401E74"/>
    <w:rsid w:val="00402E6B"/>
    <w:rsid w:val="004067DC"/>
    <w:rsid w:val="004105F8"/>
    <w:rsid w:val="00410809"/>
    <w:rsid w:val="00412316"/>
    <w:rsid w:val="0041594A"/>
    <w:rsid w:val="00416A47"/>
    <w:rsid w:val="00416CDF"/>
    <w:rsid w:val="00420679"/>
    <w:rsid w:val="00420ABC"/>
    <w:rsid w:val="0042173D"/>
    <w:rsid w:val="00423BDB"/>
    <w:rsid w:val="00424BBB"/>
    <w:rsid w:val="00427BB5"/>
    <w:rsid w:val="00430047"/>
    <w:rsid w:val="00431F57"/>
    <w:rsid w:val="00433567"/>
    <w:rsid w:val="0043373E"/>
    <w:rsid w:val="004354C8"/>
    <w:rsid w:val="00435F27"/>
    <w:rsid w:val="004364F5"/>
    <w:rsid w:val="004430C5"/>
    <w:rsid w:val="00443596"/>
    <w:rsid w:val="00445F8F"/>
    <w:rsid w:val="00446DE8"/>
    <w:rsid w:val="00446FB1"/>
    <w:rsid w:val="004473A2"/>
    <w:rsid w:val="00451251"/>
    <w:rsid w:val="0045163F"/>
    <w:rsid w:val="004524A0"/>
    <w:rsid w:val="004525AE"/>
    <w:rsid w:val="00452B44"/>
    <w:rsid w:val="00453803"/>
    <w:rsid w:val="00453D61"/>
    <w:rsid w:val="00454CFA"/>
    <w:rsid w:val="0045586A"/>
    <w:rsid w:val="00455DC4"/>
    <w:rsid w:val="004564EB"/>
    <w:rsid w:val="00461B07"/>
    <w:rsid w:val="004629CF"/>
    <w:rsid w:val="004639C5"/>
    <w:rsid w:val="00467B29"/>
    <w:rsid w:val="004702E1"/>
    <w:rsid w:val="0047181B"/>
    <w:rsid w:val="004725A1"/>
    <w:rsid w:val="00475771"/>
    <w:rsid w:val="00477A4C"/>
    <w:rsid w:val="004837CB"/>
    <w:rsid w:val="00485419"/>
    <w:rsid w:val="00485BAB"/>
    <w:rsid w:val="00492572"/>
    <w:rsid w:val="00496139"/>
    <w:rsid w:val="00496DC9"/>
    <w:rsid w:val="00497EE0"/>
    <w:rsid w:val="004A08F5"/>
    <w:rsid w:val="004A2374"/>
    <w:rsid w:val="004A3965"/>
    <w:rsid w:val="004A4685"/>
    <w:rsid w:val="004A5C0D"/>
    <w:rsid w:val="004A6ABF"/>
    <w:rsid w:val="004B0E30"/>
    <w:rsid w:val="004B14DC"/>
    <w:rsid w:val="004B1AE8"/>
    <w:rsid w:val="004B69F8"/>
    <w:rsid w:val="004C3343"/>
    <w:rsid w:val="004C55D8"/>
    <w:rsid w:val="004D0B35"/>
    <w:rsid w:val="004D2C4E"/>
    <w:rsid w:val="004D2E36"/>
    <w:rsid w:val="004D3365"/>
    <w:rsid w:val="004D390F"/>
    <w:rsid w:val="004D6FE2"/>
    <w:rsid w:val="004E02B2"/>
    <w:rsid w:val="004E18EE"/>
    <w:rsid w:val="004E2CBA"/>
    <w:rsid w:val="004E6561"/>
    <w:rsid w:val="004F0244"/>
    <w:rsid w:val="004F07C1"/>
    <w:rsid w:val="004F27B7"/>
    <w:rsid w:val="004F43B4"/>
    <w:rsid w:val="004F49A5"/>
    <w:rsid w:val="004F49D9"/>
    <w:rsid w:val="004F56AC"/>
    <w:rsid w:val="004F64F1"/>
    <w:rsid w:val="005009FA"/>
    <w:rsid w:val="00501E3C"/>
    <w:rsid w:val="005031B6"/>
    <w:rsid w:val="00503284"/>
    <w:rsid w:val="005049BA"/>
    <w:rsid w:val="00506DF1"/>
    <w:rsid w:val="0051088F"/>
    <w:rsid w:val="005164B6"/>
    <w:rsid w:val="00521531"/>
    <w:rsid w:val="005237C5"/>
    <w:rsid w:val="005261DE"/>
    <w:rsid w:val="00527317"/>
    <w:rsid w:val="00533121"/>
    <w:rsid w:val="00533303"/>
    <w:rsid w:val="00534978"/>
    <w:rsid w:val="0053583B"/>
    <w:rsid w:val="0053723F"/>
    <w:rsid w:val="005377B9"/>
    <w:rsid w:val="00537CF6"/>
    <w:rsid w:val="00540CB6"/>
    <w:rsid w:val="005427BE"/>
    <w:rsid w:val="00542A1C"/>
    <w:rsid w:val="00544360"/>
    <w:rsid w:val="00545188"/>
    <w:rsid w:val="00546FC0"/>
    <w:rsid w:val="00552378"/>
    <w:rsid w:val="00552E3F"/>
    <w:rsid w:val="00552FEB"/>
    <w:rsid w:val="00553BDB"/>
    <w:rsid w:val="00556782"/>
    <w:rsid w:val="0056049D"/>
    <w:rsid w:val="0056365E"/>
    <w:rsid w:val="00563D77"/>
    <w:rsid w:val="005651CC"/>
    <w:rsid w:val="005661AB"/>
    <w:rsid w:val="00566FF4"/>
    <w:rsid w:val="005676F0"/>
    <w:rsid w:val="0057484E"/>
    <w:rsid w:val="00574D41"/>
    <w:rsid w:val="0057576F"/>
    <w:rsid w:val="0057605C"/>
    <w:rsid w:val="0057619C"/>
    <w:rsid w:val="00576E00"/>
    <w:rsid w:val="00577A72"/>
    <w:rsid w:val="005816C5"/>
    <w:rsid w:val="005826E8"/>
    <w:rsid w:val="005835BE"/>
    <w:rsid w:val="00583F94"/>
    <w:rsid w:val="005902B3"/>
    <w:rsid w:val="0059153F"/>
    <w:rsid w:val="0059183D"/>
    <w:rsid w:val="005919D6"/>
    <w:rsid w:val="00592847"/>
    <w:rsid w:val="00592975"/>
    <w:rsid w:val="005952A1"/>
    <w:rsid w:val="00595C9D"/>
    <w:rsid w:val="005960E7"/>
    <w:rsid w:val="0059660B"/>
    <w:rsid w:val="00596F78"/>
    <w:rsid w:val="005A37E3"/>
    <w:rsid w:val="005A4B7A"/>
    <w:rsid w:val="005A7077"/>
    <w:rsid w:val="005A778E"/>
    <w:rsid w:val="005B1D5A"/>
    <w:rsid w:val="005B494F"/>
    <w:rsid w:val="005B4D89"/>
    <w:rsid w:val="005B6C55"/>
    <w:rsid w:val="005B6D11"/>
    <w:rsid w:val="005B70AA"/>
    <w:rsid w:val="005C4A0B"/>
    <w:rsid w:val="005C5A64"/>
    <w:rsid w:val="005C6904"/>
    <w:rsid w:val="005C6E31"/>
    <w:rsid w:val="005C74C1"/>
    <w:rsid w:val="005C76DA"/>
    <w:rsid w:val="005D1488"/>
    <w:rsid w:val="005D6EC7"/>
    <w:rsid w:val="005E7778"/>
    <w:rsid w:val="005F4563"/>
    <w:rsid w:val="005F45C1"/>
    <w:rsid w:val="005F4D42"/>
    <w:rsid w:val="005F59DC"/>
    <w:rsid w:val="00602C43"/>
    <w:rsid w:val="00602C9E"/>
    <w:rsid w:val="006034B6"/>
    <w:rsid w:val="006052BA"/>
    <w:rsid w:val="00606DA8"/>
    <w:rsid w:val="006073FD"/>
    <w:rsid w:val="00614250"/>
    <w:rsid w:val="00614AC6"/>
    <w:rsid w:val="006168AE"/>
    <w:rsid w:val="00616EAB"/>
    <w:rsid w:val="00622707"/>
    <w:rsid w:val="0062330C"/>
    <w:rsid w:val="00623FFD"/>
    <w:rsid w:val="0063128F"/>
    <w:rsid w:val="00631638"/>
    <w:rsid w:val="006321D3"/>
    <w:rsid w:val="006324DE"/>
    <w:rsid w:val="0063476B"/>
    <w:rsid w:val="0063522A"/>
    <w:rsid w:val="006355DE"/>
    <w:rsid w:val="00636AFC"/>
    <w:rsid w:val="00636D73"/>
    <w:rsid w:val="006378A8"/>
    <w:rsid w:val="00640874"/>
    <w:rsid w:val="00640D8C"/>
    <w:rsid w:val="006424FB"/>
    <w:rsid w:val="00642C05"/>
    <w:rsid w:val="00642E53"/>
    <w:rsid w:val="00642F41"/>
    <w:rsid w:val="00645D2E"/>
    <w:rsid w:val="00646332"/>
    <w:rsid w:val="0065043F"/>
    <w:rsid w:val="00650C74"/>
    <w:rsid w:val="00650E0E"/>
    <w:rsid w:val="00653FF2"/>
    <w:rsid w:val="0065427D"/>
    <w:rsid w:val="0065559F"/>
    <w:rsid w:val="00662C8A"/>
    <w:rsid w:val="00663EF7"/>
    <w:rsid w:val="006641EC"/>
    <w:rsid w:val="00664A7D"/>
    <w:rsid w:val="00664E8A"/>
    <w:rsid w:val="0066669A"/>
    <w:rsid w:val="0066746A"/>
    <w:rsid w:val="00671710"/>
    <w:rsid w:val="00675417"/>
    <w:rsid w:val="0067541C"/>
    <w:rsid w:val="0068164B"/>
    <w:rsid w:val="0068280B"/>
    <w:rsid w:val="00682ABC"/>
    <w:rsid w:val="00683500"/>
    <w:rsid w:val="00685BDF"/>
    <w:rsid w:val="00690362"/>
    <w:rsid w:val="00694159"/>
    <w:rsid w:val="006948DF"/>
    <w:rsid w:val="00695707"/>
    <w:rsid w:val="006A1B76"/>
    <w:rsid w:val="006A33C7"/>
    <w:rsid w:val="006A4DD2"/>
    <w:rsid w:val="006A67C4"/>
    <w:rsid w:val="006B0C38"/>
    <w:rsid w:val="006B3475"/>
    <w:rsid w:val="006B5AD2"/>
    <w:rsid w:val="006B6611"/>
    <w:rsid w:val="006B780A"/>
    <w:rsid w:val="006C2BF6"/>
    <w:rsid w:val="006C4DB9"/>
    <w:rsid w:val="006D047C"/>
    <w:rsid w:val="006D09F5"/>
    <w:rsid w:val="006D2C7D"/>
    <w:rsid w:val="006D5ACF"/>
    <w:rsid w:val="006D7384"/>
    <w:rsid w:val="006E1984"/>
    <w:rsid w:val="006E1C73"/>
    <w:rsid w:val="006E1ED8"/>
    <w:rsid w:val="006E36B3"/>
    <w:rsid w:val="006E4C24"/>
    <w:rsid w:val="006F0FE8"/>
    <w:rsid w:val="006F14B2"/>
    <w:rsid w:val="006F38A7"/>
    <w:rsid w:val="006F6BD2"/>
    <w:rsid w:val="007003FF"/>
    <w:rsid w:val="00700CE6"/>
    <w:rsid w:val="00701FF4"/>
    <w:rsid w:val="00702A50"/>
    <w:rsid w:val="007035E7"/>
    <w:rsid w:val="007039C6"/>
    <w:rsid w:val="007059CA"/>
    <w:rsid w:val="00706290"/>
    <w:rsid w:val="007063C8"/>
    <w:rsid w:val="00706B49"/>
    <w:rsid w:val="00707FB6"/>
    <w:rsid w:val="00712353"/>
    <w:rsid w:val="00713DD4"/>
    <w:rsid w:val="007228C1"/>
    <w:rsid w:val="00724ED0"/>
    <w:rsid w:val="007372B2"/>
    <w:rsid w:val="0074308F"/>
    <w:rsid w:val="00744229"/>
    <w:rsid w:val="0074527C"/>
    <w:rsid w:val="00745944"/>
    <w:rsid w:val="00745FDB"/>
    <w:rsid w:val="007467CE"/>
    <w:rsid w:val="007505A7"/>
    <w:rsid w:val="00750CAA"/>
    <w:rsid w:val="00750FED"/>
    <w:rsid w:val="00751C56"/>
    <w:rsid w:val="007527CE"/>
    <w:rsid w:val="00753339"/>
    <w:rsid w:val="007538D0"/>
    <w:rsid w:val="00754DB8"/>
    <w:rsid w:val="00760090"/>
    <w:rsid w:val="0076092F"/>
    <w:rsid w:val="007621B7"/>
    <w:rsid w:val="00765FCF"/>
    <w:rsid w:val="00766BE8"/>
    <w:rsid w:val="00770B28"/>
    <w:rsid w:val="0077140D"/>
    <w:rsid w:val="00772A5D"/>
    <w:rsid w:val="00773AF2"/>
    <w:rsid w:val="00774117"/>
    <w:rsid w:val="00784A3A"/>
    <w:rsid w:val="0078624E"/>
    <w:rsid w:val="0078645C"/>
    <w:rsid w:val="00787FD4"/>
    <w:rsid w:val="0079049C"/>
    <w:rsid w:val="00791F13"/>
    <w:rsid w:val="00792FB1"/>
    <w:rsid w:val="0079373F"/>
    <w:rsid w:val="007954DC"/>
    <w:rsid w:val="007972EE"/>
    <w:rsid w:val="007A2A2C"/>
    <w:rsid w:val="007A6B25"/>
    <w:rsid w:val="007B2DA9"/>
    <w:rsid w:val="007B3AED"/>
    <w:rsid w:val="007B5A25"/>
    <w:rsid w:val="007B5ECA"/>
    <w:rsid w:val="007B6D91"/>
    <w:rsid w:val="007C098A"/>
    <w:rsid w:val="007D53C8"/>
    <w:rsid w:val="007D6B82"/>
    <w:rsid w:val="007E1E62"/>
    <w:rsid w:val="007E3BB4"/>
    <w:rsid w:val="007E5599"/>
    <w:rsid w:val="007E6753"/>
    <w:rsid w:val="007E7AED"/>
    <w:rsid w:val="007E7F8D"/>
    <w:rsid w:val="007F2D2C"/>
    <w:rsid w:val="007F43CE"/>
    <w:rsid w:val="007F654F"/>
    <w:rsid w:val="00800F99"/>
    <w:rsid w:val="00801738"/>
    <w:rsid w:val="00802A3F"/>
    <w:rsid w:val="00805DB6"/>
    <w:rsid w:val="0081221D"/>
    <w:rsid w:val="00812F6E"/>
    <w:rsid w:val="0081410E"/>
    <w:rsid w:val="00815C15"/>
    <w:rsid w:val="00816BA6"/>
    <w:rsid w:val="008201B1"/>
    <w:rsid w:val="0082081E"/>
    <w:rsid w:val="00822902"/>
    <w:rsid w:val="00823EA6"/>
    <w:rsid w:val="0082564B"/>
    <w:rsid w:val="00827695"/>
    <w:rsid w:val="00831106"/>
    <w:rsid w:val="00831632"/>
    <w:rsid w:val="00833B21"/>
    <w:rsid w:val="00834541"/>
    <w:rsid w:val="00834942"/>
    <w:rsid w:val="00835107"/>
    <w:rsid w:val="00837B25"/>
    <w:rsid w:val="00841692"/>
    <w:rsid w:val="00842E7B"/>
    <w:rsid w:val="0084387A"/>
    <w:rsid w:val="00844D7C"/>
    <w:rsid w:val="00845594"/>
    <w:rsid w:val="00847400"/>
    <w:rsid w:val="00851A5D"/>
    <w:rsid w:val="00852F9C"/>
    <w:rsid w:val="00853A54"/>
    <w:rsid w:val="00853AA4"/>
    <w:rsid w:val="0085477F"/>
    <w:rsid w:val="00855DCF"/>
    <w:rsid w:val="008614CB"/>
    <w:rsid w:val="0086183B"/>
    <w:rsid w:val="0086481E"/>
    <w:rsid w:val="008718CF"/>
    <w:rsid w:val="008721FE"/>
    <w:rsid w:val="00873E08"/>
    <w:rsid w:val="008774EB"/>
    <w:rsid w:val="008806B3"/>
    <w:rsid w:val="0088482A"/>
    <w:rsid w:val="00884F0B"/>
    <w:rsid w:val="00885A16"/>
    <w:rsid w:val="00885E0B"/>
    <w:rsid w:val="00887313"/>
    <w:rsid w:val="00887D1C"/>
    <w:rsid w:val="00893500"/>
    <w:rsid w:val="0089382C"/>
    <w:rsid w:val="008A01E5"/>
    <w:rsid w:val="008A1215"/>
    <w:rsid w:val="008A7A08"/>
    <w:rsid w:val="008A7BFA"/>
    <w:rsid w:val="008B40CD"/>
    <w:rsid w:val="008C08B2"/>
    <w:rsid w:val="008C60D1"/>
    <w:rsid w:val="008D0E62"/>
    <w:rsid w:val="008D2882"/>
    <w:rsid w:val="008D29D7"/>
    <w:rsid w:val="008D3CA2"/>
    <w:rsid w:val="008D5C7F"/>
    <w:rsid w:val="008E1590"/>
    <w:rsid w:val="008E32A5"/>
    <w:rsid w:val="008E4301"/>
    <w:rsid w:val="008E44D2"/>
    <w:rsid w:val="008E4D00"/>
    <w:rsid w:val="008E5C35"/>
    <w:rsid w:val="008E6ECF"/>
    <w:rsid w:val="008E74B7"/>
    <w:rsid w:val="008F006E"/>
    <w:rsid w:val="008F1F02"/>
    <w:rsid w:val="008F5744"/>
    <w:rsid w:val="008F58D5"/>
    <w:rsid w:val="008F6655"/>
    <w:rsid w:val="00902BEE"/>
    <w:rsid w:val="0090352E"/>
    <w:rsid w:val="00903869"/>
    <w:rsid w:val="00906394"/>
    <w:rsid w:val="0092066C"/>
    <w:rsid w:val="00923154"/>
    <w:rsid w:val="00924730"/>
    <w:rsid w:val="009250D8"/>
    <w:rsid w:val="0092567B"/>
    <w:rsid w:val="00926C45"/>
    <w:rsid w:val="00927533"/>
    <w:rsid w:val="00927CFF"/>
    <w:rsid w:val="009315D6"/>
    <w:rsid w:val="00931DDF"/>
    <w:rsid w:val="009474D8"/>
    <w:rsid w:val="00950229"/>
    <w:rsid w:val="00951909"/>
    <w:rsid w:val="00951A0D"/>
    <w:rsid w:val="00952B0D"/>
    <w:rsid w:val="00953358"/>
    <w:rsid w:val="009564BA"/>
    <w:rsid w:val="009613E1"/>
    <w:rsid w:val="009636CD"/>
    <w:rsid w:val="00964D6C"/>
    <w:rsid w:val="009661E0"/>
    <w:rsid w:val="00967599"/>
    <w:rsid w:val="00967B02"/>
    <w:rsid w:val="00971EF1"/>
    <w:rsid w:val="00971F13"/>
    <w:rsid w:val="00973C05"/>
    <w:rsid w:val="00977459"/>
    <w:rsid w:val="0098010F"/>
    <w:rsid w:val="0098150B"/>
    <w:rsid w:val="00983FFD"/>
    <w:rsid w:val="0098468D"/>
    <w:rsid w:val="00984D28"/>
    <w:rsid w:val="00985748"/>
    <w:rsid w:val="00987C26"/>
    <w:rsid w:val="00990DCF"/>
    <w:rsid w:val="00992208"/>
    <w:rsid w:val="00994781"/>
    <w:rsid w:val="00994827"/>
    <w:rsid w:val="009A418F"/>
    <w:rsid w:val="009A7F03"/>
    <w:rsid w:val="009B0824"/>
    <w:rsid w:val="009C03DC"/>
    <w:rsid w:val="009C0B38"/>
    <w:rsid w:val="009C16AB"/>
    <w:rsid w:val="009C4271"/>
    <w:rsid w:val="009C4994"/>
    <w:rsid w:val="009C5498"/>
    <w:rsid w:val="009C64E1"/>
    <w:rsid w:val="009D0FDD"/>
    <w:rsid w:val="009D1F8A"/>
    <w:rsid w:val="009D3A55"/>
    <w:rsid w:val="009D4424"/>
    <w:rsid w:val="009D54C5"/>
    <w:rsid w:val="009D5CA3"/>
    <w:rsid w:val="009D6A28"/>
    <w:rsid w:val="009D6B94"/>
    <w:rsid w:val="009E0355"/>
    <w:rsid w:val="009E26D1"/>
    <w:rsid w:val="009E2A7F"/>
    <w:rsid w:val="009E6A39"/>
    <w:rsid w:val="009F02AD"/>
    <w:rsid w:val="009F0AB7"/>
    <w:rsid w:val="009F7F17"/>
    <w:rsid w:val="00A00BF3"/>
    <w:rsid w:val="00A0241B"/>
    <w:rsid w:val="00A07F66"/>
    <w:rsid w:val="00A10D9E"/>
    <w:rsid w:val="00A11EBF"/>
    <w:rsid w:val="00A13572"/>
    <w:rsid w:val="00A14806"/>
    <w:rsid w:val="00A152DA"/>
    <w:rsid w:val="00A157D8"/>
    <w:rsid w:val="00A163F6"/>
    <w:rsid w:val="00A179CC"/>
    <w:rsid w:val="00A24586"/>
    <w:rsid w:val="00A246DF"/>
    <w:rsid w:val="00A25D3E"/>
    <w:rsid w:val="00A26EA9"/>
    <w:rsid w:val="00A27368"/>
    <w:rsid w:val="00A278DE"/>
    <w:rsid w:val="00A305C5"/>
    <w:rsid w:val="00A306DB"/>
    <w:rsid w:val="00A33C68"/>
    <w:rsid w:val="00A36F17"/>
    <w:rsid w:val="00A37344"/>
    <w:rsid w:val="00A40B75"/>
    <w:rsid w:val="00A41D06"/>
    <w:rsid w:val="00A42AAC"/>
    <w:rsid w:val="00A43FEA"/>
    <w:rsid w:val="00A44374"/>
    <w:rsid w:val="00A46EAE"/>
    <w:rsid w:val="00A474B1"/>
    <w:rsid w:val="00A546B7"/>
    <w:rsid w:val="00A56DE3"/>
    <w:rsid w:val="00A61291"/>
    <w:rsid w:val="00A637A1"/>
    <w:rsid w:val="00A65628"/>
    <w:rsid w:val="00A70215"/>
    <w:rsid w:val="00A71915"/>
    <w:rsid w:val="00A72E36"/>
    <w:rsid w:val="00A73308"/>
    <w:rsid w:val="00A7407E"/>
    <w:rsid w:val="00A74670"/>
    <w:rsid w:val="00A752A5"/>
    <w:rsid w:val="00A82272"/>
    <w:rsid w:val="00A84C6E"/>
    <w:rsid w:val="00A852F5"/>
    <w:rsid w:val="00A91082"/>
    <w:rsid w:val="00A935E3"/>
    <w:rsid w:val="00A95A7F"/>
    <w:rsid w:val="00A96121"/>
    <w:rsid w:val="00AA38CC"/>
    <w:rsid w:val="00AA4043"/>
    <w:rsid w:val="00AA5119"/>
    <w:rsid w:val="00AA5E53"/>
    <w:rsid w:val="00AA6082"/>
    <w:rsid w:val="00AA79AC"/>
    <w:rsid w:val="00AB1A0A"/>
    <w:rsid w:val="00AB2CDA"/>
    <w:rsid w:val="00AB32DA"/>
    <w:rsid w:val="00AB355D"/>
    <w:rsid w:val="00AB3F18"/>
    <w:rsid w:val="00AB6B70"/>
    <w:rsid w:val="00AC1377"/>
    <w:rsid w:val="00AC4A1F"/>
    <w:rsid w:val="00AC4E2A"/>
    <w:rsid w:val="00AC7DAD"/>
    <w:rsid w:val="00AD2031"/>
    <w:rsid w:val="00AD3D84"/>
    <w:rsid w:val="00AD5AD0"/>
    <w:rsid w:val="00AE2121"/>
    <w:rsid w:val="00AE5C5B"/>
    <w:rsid w:val="00AE7852"/>
    <w:rsid w:val="00AF0800"/>
    <w:rsid w:val="00AF22F4"/>
    <w:rsid w:val="00AF455B"/>
    <w:rsid w:val="00AF5B88"/>
    <w:rsid w:val="00AF654C"/>
    <w:rsid w:val="00B0146B"/>
    <w:rsid w:val="00B020F0"/>
    <w:rsid w:val="00B025C3"/>
    <w:rsid w:val="00B02FCE"/>
    <w:rsid w:val="00B07F00"/>
    <w:rsid w:val="00B154BA"/>
    <w:rsid w:val="00B165BC"/>
    <w:rsid w:val="00B171F4"/>
    <w:rsid w:val="00B201AD"/>
    <w:rsid w:val="00B20632"/>
    <w:rsid w:val="00B20F89"/>
    <w:rsid w:val="00B21F82"/>
    <w:rsid w:val="00B23DB0"/>
    <w:rsid w:val="00B25A13"/>
    <w:rsid w:val="00B269EA"/>
    <w:rsid w:val="00B272C3"/>
    <w:rsid w:val="00B27D3B"/>
    <w:rsid w:val="00B30370"/>
    <w:rsid w:val="00B30EE1"/>
    <w:rsid w:val="00B3260E"/>
    <w:rsid w:val="00B377BD"/>
    <w:rsid w:val="00B37BEF"/>
    <w:rsid w:val="00B40F01"/>
    <w:rsid w:val="00B506B9"/>
    <w:rsid w:val="00B50742"/>
    <w:rsid w:val="00B52D20"/>
    <w:rsid w:val="00B56092"/>
    <w:rsid w:val="00B5738B"/>
    <w:rsid w:val="00B62411"/>
    <w:rsid w:val="00B636F3"/>
    <w:rsid w:val="00B66F0A"/>
    <w:rsid w:val="00B70653"/>
    <w:rsid w:val="00B721E2"/>
    <w:rsid w:val="00B72263"/>
    <w:rsid w:val="00B74C1B"/>
    <w:rsid w:val="00B75C8C"/>
    <w:rsid w:val="00B800EF"/>
    <w:rsid w:val="00B8039E"/>
    <w:rsid w:val="00B8051A"/>
    <w:rsid w:val="00B8274F"/>
    <w:rsid w:val="00B82D17"/>
    <w:rsid w:val="00B853F5"/>
    <w:rsid w:val="00B85DFF"/>
    <w:rsid w:val="00B938C9"/>
    <w:rsid w:val="00B93AB6"/>
    <w:rsid w:val="00B94613"/>
    <w:rsid w:val="00BA233F"/>
    <w:rsid w:val="00BA2C2A"/>
    <w:rsid w:val="00BA7F8E"/>
    <w:rsid w:val="00BB086C"/>
    <w:rsid w:val="00BB135B"/>
    <w:rsid w:val="00BB2403"/>
    <w:rsid w:val="00BB6A40"/>
    <w:rsid w:val="00BB6F05"/>
    <w:rsid w:val="00BC0F96"/>
    <w:rsid w:val="00BC4ECE"/>
    <w:rsid w:val="00BD013A"/>
    <w:rsid w:val="00BD1011"/>
    <w:rsid w:val="00BD112C"/>
    <w:rsid w:val="00BD4622"/>
    <w:rsid w:val="00BD7164"/>
    <w:rsid w:val="00BD7381"/>
    <w:rsid w:val="00BE26E9"/>
    <w:rsid w:val="00BE35AD"/>
    <w:rsid w:val="00BE56B6"/>
    <w:rsid w:val="00BE685E"/>
    <w:rsid w:val="00BF0429"/>
    <w:rsid w:val="00BF0AD4"/>
    <w:rsid w:val="00BF235B"/>
    <w:rsid w:val="00BF3CE7"/>
    <w:rsid w:val="00BF7241"/>
    <w:rsid w:val="00BF76A8"/>
    <w:rsid w:val="00C01E5B"/>
    <w:rsid w:val="00C02C2D"/>
    <w:rsid w:val="00C037E9"/>
    <w:rsid w:val="00C03BB6"/>
    <w:rsid w:val="00C04519"/>
    <w:rsid w:val="00C071BA"/>
    <w:rsid w:val="00C10DD2"/>
    <w:rsid w:val="00C1126D"/>
    <w:rsid w:val="00C11CC1"/>
    <w:rsid w:val="00C11EB9"/>
    <w:rsid w:val="00C1284C"/>
    <w:rsid w:val="00C14DC9"/>
    <w:rsid w:val="00C151BF"/>
    <w:rsid w:val="00C1696F"/>
    <w:rsid w:val="00C17679"/>
    <w:rsid w:val="00C17A64"/>
    <w:rsid w:val="00C25345"/>
    <w:rsid w:val="00C2670C"/>
    <w:rsid w:val="00C30168"/>
    <w:rsid w:val="00C313C2"/>
    <w:rsid w:val="00C32FA4"/>
    <w:rsid w:val="00C33417"/>
    <w:rsid w:val="00C3400A"/>
    <w:rsid w:val="00C35ACE"/>
    <w:rsid w:val="00C36A7A"/>
    <w:rsid w:val="00C40B58"/>
    <w:rsid w:val="00C43BF4"/>
    <w:rsid w:val="00C43D1A"/>
    <w:rsid w:val="00C5521D"/>
    <w:rsid w:val="00C642EA"/>
    <w:rsid w:val="00C64416"/>
    <w:rsid w:val="00C6460E"/>
    <w:rsid w:val="00C66558"/>
    <w:rsid w:val="00C75084"/>
    <w:rsid w:val="00C754B4"/>
    <w:rsid w:val="00C75C3B"/>
    <w:rsid w:val="00C80939"/>
    <w:rsid w:val="00C80CCC"/>
    <w:rsid w:val="00C8266C"/>
    <w:rsid w:val="00C8365A"/>
    <w:rsid w:val="00C84B45"/>
    <w:rsid w:val="00C85422"/>
    <w:rsid w:val="00C87857"/>
    <w:rsid w:val="00C87D46"/>
    <w:rsid w:val="00C904AA"/>
    <w:rsid w:val="00C9193F"/>
    <w:rsid w:val="00C945E7"/>
    <w:rsid w:val="00C95C95"/>
    <w:rsid w:val="00C96A74"/>
    <w:rsid w:val="00CA06C9"/>
    <w:rsid w:val="00CA48FB"/>
    <w:rsid w:val="00CA55EA"/>
    <w:rsid w:val="00CA58AD"/>
    <w:rsid w:val="00CB0917"/>
    <w:rsid w:val="00CB0B04"/>
    <w:rsid w:val="00CB1993"/>
    <w:rsid w:val="00CB1FCC"/>
    <w:rsid w:val="00CB4225"/>
    <w:rsid w:val="00CB469D"/>
    <w:rsid w:val="00CB4B91"/>
    <w:rsid w:val="00CB5425"/>
    <w:rsid w:val="00CB63B9"/>
    <w:rsid w:val="00CC060C"/>
    <w:rsid w:val="00CC1990"/>
    <w:rsid w:val="00CC3E5F"/>
    <w:rsid w:val="00CC44D0"/>
    <w:rsid w:val="00CC5541"/>
    <w:rsid w:val="00CC5850"/>
    <w:rsid w:val="00CC639C"/>
    <w:rsid w:val="00CC6A36"/>
    <w:rsid w:val="00CD09F5"/>
    <w:rsid w:val="00CD1118"/>
    <w:rsid w:val="00CD162A"/>
    <w:rsid w:val="00CD2BF9"/>
    <w:rsid w:val="00CD3966"/>
    <w:rsid w:val="00CD67D3"/>
    <w:rsid w:val="00CD734F"/>
    <w:rsid w:val="00CD7D52"/>
    <w:rsid w:val="00CE28FF"/>
    <w:rsid w:val="00CE2E6C"/>
    <w:rsid w:val="00CE48E3"/>
    <w:rsid w:val="00CE4971"/>
    <w:rsid w:val="00CE52BE"/>
    <w:rsid w:val="00CF0A9F"/>
    <w:rsid w:val="00CF11C1"/>
    <w:rsid w:val="00CF1745"/>
    <w:rsid w:val="00CF1778"/>
    <w:rsid w:val="00CF7084"/>
    <w:rsid w:val="00CF7096"/>
    <w:rsid w:val="00CF7B63"/>
    <w:rsid w:val="00D00916"/>
    <w:rsid w:val="00D0253F"/>
    <w:rsid w:val="00D04859"/>
    <w:rsid w:val="00D05400"/>
    <w:rsid w:val="00D05616"/>
    <w:rsid w:val="00D05A24"/>
    <w:rsid w:val="00D1471D"/>
    <w:rsid w:val="00D15BB8"/>
    <w:rsid w:val="00D17657"/>
    <w:rsid w:val="00D2071B"/>
    <w:rsid w:val="00D21008"/>
    <w:rsid w:val="00D21BCE"/>
    <w:rsid w:val="00D24B85"/>
    <w:rsid w:val="00D25F25"/>
    <w:rsid w:val="00D27410"/>
    <w:rsid w:val="00D318FC"/>
    <w:rsid w:val="00D31DA1"/>
    <w:rsid w:val="00D41595"/>
    <w:rsid w:val="00D41A55"/>
    <w:rsid w:val="00D42164"/>
    <w:rsid w:val="00D4453E"/>
    <w:rsid w:val="00D44F89"/>
    <w:rsid w:val="00D45F55"/>
    <w:rsid w:val="00D4674D"/>
    <w:rsid w:val="00D4772F"/>
    <w:rsid w:val="00D50FB0"/>
    <w:rsid w:val="00D51045"/>
    <w:rsid w:val="00D52C52"/>
    <w:rsid w:val="00D5583D"/>
    <w:rsid w:val="00D56F48"/>
    <w:rsid w:val="00D60D92"/>
    <w:rsid w:val="00D64BA3"/>
    <w:rsid w:val="00D65216"/>
    <w:rsid w:val="00D65FEB"/>
    <w:rsid w:val="00D70630"/>
    <w:rsid w:val="00D72D95"/>
    <w:rsid w:val="00D7518E"/>
    <w:rsid w:val="00D75D23"/>
    <w:rsid w:val="00D76BFB"/>
    <w:rsid w:val="00D81358"/>
    <w:rsid w:val="00D83AE6"/>
    <w:rsid w:val="00D87F28"/>
    <w:rsid w:val="00D9013C"/>
    <w:rsid w:val="00D91182"/>
    <w:rsid w:val="00D91B47"/>
    <w:rsid w:val="00D92018"/>
    <w:rsid w:val="00D945D8"/>
    <w:rsid w:val="00DA3A4D"/>
    <w:rsid w:val="00DA5625"/>
    <w:rsid w:val="00DB0EA0"/>
    <w:rsid w:val="00DB15D4"/>
    <w:rsid w:val="00DB74C8"/>
    <w:rsid w:val="00DB7580"/>
    <w:rsid w:val="00DC0163"/>
    <w:rsid w:val="00DC0256"/>
    <w:rsid w:val="00DC1EFF"/>
    <w:rsid w:val="00DC212B"/>
    <w:rsid w:val="00DC7FDA"/>
    <w:rsid w:val="00DD40A7"/>
    <w:rsid w:val="00DD4D43"/>
    <w:rsid w:val="00DD7726"/>
    <w:rsid w:val="00DE0122"/>
    <w:rsid w:val="00DE2183"/>
    <w:rsid w:val="00DE4E45"/>
    <w:rsid w:val="00DE5DAE"/>
    <w:rsid w:val="00DE605D"/>
    <w:rsid w:val="00DF3785"/>
    <w:rsid w:val="00DF5925"/>
    <w:rsid w:val="00E0153D"/>
    <w:rsid w:val="00E02D41"/>
    <w:rsid w:val="00E036A8"/>
    <w:rsid w:val="00E04664"/>
    <w:rsid w:val="00E04A0C"/>
    <w:rsid w:val="00E076E2"/>
    <w:rsid w:val="00E07E49"/>
    <w:rsid w:val="00E14A98"/>
    <w:rsid w:val="00E15394"/>
    <w:rsid w:val="00E219A4"/>
    <w:rsid w:val="00E2412B"/>
    <w:rsid w:val="00E27D6B"/>
    <w:rsid w:val="00E3621C"/>
    <w:rsid w:val="00E400C9"/>
    <w:rsid w:val="00E41182"/>
    <w:rsid w:val="00E41F96"/>
    <w:rsid w:val="00E43C99"/>
    <w:rsid w:val="00E453A6"/>
    <w:rsid w:val="00E47FDB"/>
    <w:rsid w:val="00E47FF3"/>
    <w:rsid w:val="00E50998"/>
    <w:rsid w:val="00E512AD"/>
    <w:rsid w:val="00E523A4"/>
    <w:rsid w:val="00E534AE"/>
    <w:rsid w:val="00E53F42"/>
    <w:rsid w:val="00E56AE5"/>
    <w:rsid w:val="00E60C22"/>
    <w:rsid w:val="00E66723"/>
    <w:rsid w:val="00E71E6E"/>
    <w:rsid w:val="00E72616"/>
    <w:rsid w:val="00E731F4"/>
    <w:rsid w:val="00E753F4"/>
    <w:rsid w:val="00E76193"/>
    <w:rsid w:val="00E76E59"/>
    <w:rsid w:val="00E80BF7"/>
    <w:rsid w:val="00E813A1"/>
    <w:rsid w:val="00E821C3"/>
    <w:rsid w:val="00E82265"/>
    <w:rsid w:val="00E856D8"/>
    <w:rsid w:val="00E87594"/>
    <w:rsid w:val="00E9391E"/>
    <w:rsid w:val="00E94C69"/>
    <w:rsid w:val="00E973BF"/>
    <w:rsid w:val="00EA01E6"/>
    <w:rsid w:val="00EA274F"/>
    <w:rsid w:val="00EA3997"/>
    <w:rsid w:val="00EA3B66"/>
    <w:rsid w:val="00EA40A1"/>
    <w:rsid w:val="00EA43D2"/>
    <w:rsid w:val="00EA66D8"/>
    <w:rsid w:val="00EB6570"/>
    <w:rsid w:val="00EB7346"/>
    <w:rsid w:val="00EB73C2"/>
    <w:rsid w:val="00EB7E73"/>
    <w:rsid w:val="00EC02BA"/>
    <w:rsid w:val="00EC0DFB"/>
    <w:rsid w:val="00EC0EED"/>
    <w:rsid w:val="00EC2855"/>
    <w:rsid w:val="00EC2E2F"/>
    <w:rsid w:val="00EC3453"/>
    <w:rsid w:val="00ED0250"/>
    <w:rsid w:val="00ED253D"/>
    <w:rsid w:val="00ED27BD"/>
    <w:rsid w:val="00ED2984"/>
    <w:rsid w:val="00ED522D"/>
    <w:rsid w:val="00ED76F5"/>
    <w:rsid w:val="00EE06AF"/>
    <w:rsid w:val="00EE1DAC"/>
    <w:rsid w:val="00EE204B"/>
    <w:rsid w:val="00EE39F5"/>
    <w:rsid w:val="00EE46A2"/>
    <w:rsid w:val="00EE55CC"/>
    <w:rsid w:val="00EE7516"/>
    <w:rsid w:val="00EF066C"/>
    <w:rsid w:val="00EF0D36"/>
    <w:rsid w:val="00EF2076"/>
    <w:rsid w:val="00EF38AC"/>
    <w:rsid w:val="00EF5EDA"/>
    <w:rsid w:val="00EF6478"/>
    <w:rsid w:val="00EF69AE"/>
    <w:rsid w:val="00EF6CDB"/>
    <w:rsid w:val="00F01783"/>
    <w:rsid w:val="00F0439E"/>
    <w:rsid w:val="00F1165D"/>
    <w:rsid w:val="00F15A10"/>
    <w:rsid w:val="00F2615D"/>
    <w:rsid w:val="00F2621F"/>
    <w:rsid w:val="00F270A2"/>
    <w:rsid w:val="00F37805"/>
    <w:rsid w:val="00F379E5"/>
    <w:rsid w:val="00F37F39"/>
    <w:rsid w:val="00F40468"/>
    <w:rsid w:val="00F40AB0"/>
    <w:rsid w:val="00F43A3B"/>
    <w:rsid w:val="00F467F4"/>
    <w:rsid w:val="00F52B45"/>
    <w:rsid w:val="00F56281"/>
    <w:rsid w:val="00F56B2B"/>
    <w:rsid w:val="00F57862"/>
    <w:rsid w:val="00F61878"/>
    <w:rsid w:val="00F656D1"/>
    <w:rsid w:val="00F6697A"/>
    <w:rsid w:val="00F76F7C"/>
    <w:rsid w:val="00F8052A"/>
    <w:rsid w:val="00F80EBF"/>
    <w:rsid w:val="00F81370"/>
    <w:rsid w:val="00F8461B"/>
    <w:rsid w:val="00F91B11"/>
    <w:rsid w:val="00F9475F"/>
    <w:rsid w:val="00FA05B5"/>
    <w:rsid w:val="00FA30C4"/>
    <w:rsid w:val="00FA40F2"/>
    <w:rsid w:val="00FA69D9"/>
    <w:rsid w:val="00FA7B96"/>
    <w:rsid w:val="00FB4D9D"/>
    <w:rsid w:val="00FB6E3F"/>
    <w:rsid w:val="00FB75D6"/>
    <w:rsid w:val="00FB7884"/>
    <w:rsid w:val="00FC13FE"/>
    <w:rsid w:val="00FC5ED0"/>
    <w:rsid w:val="00FC6B8E"/>
    <w:rsid w:val="00FC6E73"/>
    <w:rsid w:val="00FD2836"/>
    <w:rsid w:val="00FD2AFE"/>
    <w:rsid w:val="00FD5A89"/>
    <w:rsid w:val="00FD630D"/>
    <w:rsid w:val="00FD76A4"/>
    <w:rsid w:val="00FD79C9"/>
    <w:rsid w:val="00FE0411"/>
    <w:rsid w:val="00FE091A"/>
    <w:rsid w:val="00FE28F2"/>
    <w:rsid w:val="00FE34CE"/>
    <w:rsid w:val="00FE7487"/>
    <w:rsid w:val="00FE7D7B"/>
    <w:rsid w:val="00FF30A2"/>
    <w:rsid w:val="00FF358D"/>
    <w:rsid w:val="00FF486C"/>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59F586"/>
  <w14:defaultImageDpi w14:val="330"/>
  <w15:docId w15:val="{2758585D-AAF3-436D-957B-08E3B6B74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55"/>
    <w:pPr>
      <w:tabs>
        <w:tab w:val="left" w:pos="1531"/>
      </w:tabs>
      <w:spacing w:after="120" w:line="276" w:lineRule="auto"/>
    </w:pPr>
    <w:rPr>
      <w:sz w:val="20"/>
      <w:lang w:val="en-GB"/>
    </w:rPr>
  </w:style>
  <w:style w:type="paragraph" w:styleId="Heading1">
    <w:name w:val="heading 1"/>
    <w:basedOn w:val="Normal"/>
    <w:next w:val="Normal"/>
    <w:link w:val="Heading1Char"/>
    <w:uiPriority w:val="9"/>
    <w:qFormat/>
    <w:rsid w:val="00AA6082"/>
    <w:pPr>
      <w:keepNext/>
      <w:keepLines/>
      <w:outlineLvl w:val="0"/>
    </w:pPr>
    <w:rPr>
      <w:rFonts w:asciiTheme="majorHAnsi" w:eastAsiaTheme="majorEastAsia" w:hAnsiTheme="majorHAnsi" w:cstheme="majorBidi"/>
      <w:b/>
      <w:bCs/>
      <w:color w:val="001CB0" w:themeColor="text2"/>
      <w:szCs w:val="32"/>
    </w:rPr>
  </w:style>
  <w:style w:type="paragraph" w:styleId="Heading2">
    <w:name w:val="heading 2"/>
    <w:basedOn w:val="Heading1"/>
    <w:next w:val="Normal"/>
    <w:link w:val="Heading2Char"/>
    <w:uiPriority w:val="9"/>
    <w:unhideWhenUsed/>
    <w:qFormat/>
    <w:rsid w:val="00AA6082"/>
    <w:pPr>
      <w:outlineLvl w:val="1"/>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20D2"/>
    <w:pPr>
      <w:framePr w:w="1985" w:wrap="around" w:vAnchor="page" w:hAnchor="page" w:x="8790" w:y="908" w:anchorLock="1"/>
      <w:tabs>
        <w:tab w:val="center" w:pos="4320"/>
        <w:tab w:val="right" w:pos="8640"/>
      </w:tabs>
      <w:spacing w:line="288" w:lineRule="auto"/>
      <w:contextualSpacing/>
    </w:pPr>
    <w:rPr>
      <w:sz w:val="16"/>
    </w:rPr>
  </w:style>
  <w:style w:type="character" w:customStyle="1" w:styleId="HeaderChar">
    <w:name w:val="Header Char"/>
    <w:basedOn w:val="DefaultParagraphFont"/>
    <w:link w:val="Header"/>
    <w:uiPriority w:val="99"/>
    <w:rsid w:val="002120D2"/>
    <w:rPr>
      <w:sz w:val="16"/>
    </w:rPr>
  </w:style>
  <w:style w:type="paragraph" w:styleId="Footer">
    <w:name w:val="footer"/>
    <w:basedOn w:val="Normal"/>
    <w:link w:val="FooterChar"/>
    <w:uiPriority w:val="99"/>
    <w:unhideWhenUsed/>
    <w:rsid w:val="001C2260"/>
    <w:pPr>
      <w:tabs>
        <w:tab w:val="clear" w:pos="1531"/>
        <w:tab w:val="right" w:pos="9185"/>
      </w:tabs>
    </w:pPr>
    <w:rPr>
      <w:rFonts w:ascii="Arial" w:hAnsi="Arial" w:cs="Arial"/>
      <w:sz w:val="14"/>
      <w:szCs w:val="14"/>
    </w:rPr>
  </w:style>
  <w:style w:type="character" w:customStyle="1" w:styleId="FooterChar">
    <w:name w:val="Footer Char"/>
    <w:basedOn w:val="DefaultParagraphFont"/>
    <w:link w:val="Footer"/>
    <w:uiPriority w:val="99"/>
    <w:rsid w:val="001C2260"/>
    <w:rPr>
      <w:rFonts w:ascii="Arial" w:hAnsi="Arial" w:cs="Arial"/>
      <w:sz w:val="14"/>
      <w:szCs w:val="14"/>
    </w:rPr>
  </w:style>
  <w:style w:type="paragraph" w:styleId="BalloonText">
    <w:name w:val="Balloon Text"/>
    <w:basedOn w:val="Normal"/>
    <w:link w:val="BalloonTextChar"/>
    <w:uiPriority w:val="99"/>
    <w:semiHidden/>
    <w:unhideWhenUsed/>
    <w:rsid w:val="002924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484"/>
    <w:rPr>
      <w:rFonts w:ascii="Lucida Grande" w:hAnsi="Lucida Grande" w:cs="Lucida Grande"/>
      <w:sz w:val="18"/>
      <w:szCs w:val="18"/>
    </w:rPr>
  </w:style>
  <w:style w:type="character" w:customStyle="1" w:styleId="Heading1Char">
    <w:name w:val="Heading 1 Char"/>
    <w:basedOn w:val="DefaultParagraphFont"/>
    <w:link w:val="Heading1"/>
    <w:uiPriority w:val="9"/>
    <w:rsid w:val="00AA6082"/>
    <w:rPr>
      <w:rFonts w:asciiTheme="majorHAnsi" w:eastAsiaTheme="majorEastAsia" w:hAnsiTheme="majorHAnsi" w:cstheme="majorBidi"/>
      <w:b/>
      <w:bCs/>
      <w:color w:val="001CB0" w:themeColor="text2"/>
      <w:sz w:val="20"/>
      <w:szCs w:val="32"/>
    </w:rPr>
  </w:style>
  <w:style w:type="paragraph" w:customStyle="1" w:styleId="AGLHeading1">
    <w:name w:val="AGL Heading 1"/>
    <w:basedOn w:val="Normal"/>
    <w:rsid w:val="00E821C3"/>
    <w:pPr>
      <w:widowControl w:val="0"/>
      <w:suppressAutoHyphens/>
      <w:autoSpaceDE w:val="0"/>
      <w:autoSpaceDN w:val="0"/>
      <w:adjustRightInd w:val="0"/>
      <w:spacing w:after="67" w:line="288" w:lineRule="auto"/>
      <w:ind w:left="-709"/>
      <w:textAlignment w:val="center"/>
    </w:pPr>
    <w:rPr>
      <w:rFonts w:ascii="Titillium WebRegular" w:hAnsi="Titillium WebRegular" w:cs="TitilliumWeb-SemiBold"/>
      <w:b/>
      <w:color w:val="001CB0"/>
      <w:spacing w:val="10"/>
      <w:sz w:val="28"/>
      <w:szCs w:val="28"/>
      <w:lang w:val="en-US"/>
    </w:rPr>
  </w:style>
  <w:style w:type="paragraph" w:customStyle="1" w:styleId="AGLHighlight">
    <w:name w:val="AGL Highlight"/>
    <w:basedOn w:val="Normal"/>
    <w:rsid w:val="00E821C3"/>
    <w:pPr>
      <w:widowControl w:val="0"/>
      <w:suppressAutoHyphens/>
      <w:autoSpaceDE w:val="0"/>
      <w:autoSpaceDN w:val="0"/>
      <w:adjustRightInd w:val="0"/>
      <w:spacing w:after="67" w:line="240" w:lineRule="auto"/>
      <w:ind w:left="-709" w:right="-525"/>
      <w:textAlignment w:val="center"/>
    </w:pPr>
    <w:rPr>
      <w:rFonts w:ascii="Titillium WebRegular" w:hAnsi="Titillium WebRegular" w:cs="TitilliumWeb-Bold"/>
      <w:b/>
      <w:color w:val="001CB0"/>
      <w:spacing w:val="10"/>
      <w:sz w:val="17"/>
      <w:szCs w:val="17"/>
      <w:lang w:val="en-US"/>
    </w:rPr>
  </w:style>
  <w:style w:type="paragraph" w:customStyle="1" w:styleId="AGLBodycopy">
    <w:name w:val="AGL Body copy"/>
    <w:basedOn w:val="Normal"/>
    <w:qFormat/>
    <w:rsid w:val="00631638"/>
  </w:style>
  <w:style w:type="paragraph" w:customStyle="1" w:styleId="AGl-Bulletpoints">
    <w:name w:val="AGl- Bullet points"/>
    <w:basedOn w:val="Normal"/>
    <w:rsid w:val="00E821C3"/>
    <w:pPr>
      <w:widowControl w:val="0"/>
      <w:suppressAutoHyphens/>
      <w:autoSpaceDE w:val="0"/>
      <w:autoSpaceDN w:val="0"/>
      <w:adjustRightInd w:val="0"/>
      <w:spacing w:before="40" w:after="80" w:line="240" w:lineRule="auto"/>
      <w:ind w:left="-57" w:right="57" w:hanging="227"/>
      <w:textAlignment w:val="center"/>
    </w:pPr>
    <w:rPr>
      <w:rFonts w:ascii="ArialMT" w:hAnsi="ArialMT" w:cs="ArialMT"/>
      <w:color w:val="000000"/>
      <w:sz w:val="16"/>
      <w:szCs w:val="16"/>
      <w:lang w:val="en-US"/>
    </w:rPr>
  </w:style>
  <w:style w:type="paragraph" w:customStyle="1" w:styleId="AGLHeading3">
    <w:name w:val="AGL Heading 3"/>
    <w:basedOn w:val="Normal"/>
    <w:rsid w:val="00E821C3"/>
    <w:pPr>
      <w:widowControl w:val="0"/>
      <w:suppressAutoHyphens/>
      <w:autoSpaceDE w:val="0"/>
      <w:autoSpaceDN w:val="0"/>
      <w:adjustRightInd w:val="0"/>
      <w:spacing w:after="67" w:line="288" w:lineRule="auto"/>
      <w:ind w:left="-709"/>
      <w:textAlignment w:val="center"/>
    </w:pPr>
    <w:rPr>
      <w:rFonts w:ascii="Titillium WebRegular" w:hAnsi="Titillium WebRegular" w:cs="TitilliumWeb-SemiBold"/>
      <w:b/>
      <w:color w:val="001CB0"/>
      <w:spacing w:val="10"/>
      <w:sz w:val="17"/>
      <w:szCs w:val="17"/>
      <w:lang w:val="en-US"/>
    </w:rPr>
  </w:style>
  <w:style w:type="paragraph" w:customStyle="1" w:styleId="AGLHeading2">
    <w:name w:val="AGL Heading 2"/>
    <w:basedOn w:val="Normal"/>
    <w:rsid w:val="00E821C3"/>
    <w:pPr>
      <w:widowControl w:val="0"/>
      <w:suppressAutoHyphens/>
      <w:autoSpaceDE w:val="0"/>
      <w:autoSpaceDN w:val="0"/>
      <w:adjustRightInd w:val="0"/>
      <w:spacing w:after="67" w:line="288" w:lineRule="auto"/>
      <w:ind w:left="-709"/>
      <w:textAlignment w:val="center"/>
    </w:pPr>
    <w:rPr>
      <w:rFonts w:ascii="Titillium WebRegular" w:hAnsi="Titillium WebRegular" w:cs="TitilliumWeb-SemiBold"/>
      <w:b/>
      <w:color w:val="001CB0"/>
      <w:spacing w:val="10"/>
      <w:szCs w:val="20"/>
      <w:lang w:val="en-US"/>
    </w:rPr>
  </w:style>
  <w:style w:type="paragraph" w:customStyle="1" w:styleId="AGLDetails">
    <w:name w:val="AGL Details"/>
    <w:basedOn w:val="Normal"/>
    <w:rsid w:val="00923154"/>
    <w:pPr>
      <w:widowControl w:val="0"/>
      <w:suppressAutoHyphens/>
      <w:autoSpaceDE w:val="0"/>
      <w:autoSpaceDN w:val="0"/>
      <w:adjustRightInd w:val="0"/>
      <w:spacing w:after="40" w:line="288" w:lineRule="auto"/>
      <w:ind w:left="-567"/>
      <w:textAlignment w:val="center"/>
    </w:pPr>
    <w:rPr>
      <w:rFonts w:ascii="Titillium WebRegular" w:hAnsi="Titillium WebRegular" w:cs="TitilliumWeb-SemiBold"/>
      <w:b/>
      <w:bCs/>
      <w:color w:val="001CB0"/>
      <w:sz w:val="18"/>
      <w:szCs w:val="18"/>
      <w:lang w:val="en-US"/>
    </w:rPr>
  </w:style>
  <w:style w:type="paragraph" w:customStyle="1" w:styleId="AGLCoverSubheading">
    <w:name w:val="AGL Cover Subheading"/>
    <w:basedOn w:val="Normal"/>
    <w:rsid w:val="00792FB1"/>
    <w:pPr>
      <w:spacing w:line="340" w:lineRule="exact"/>
    </w:pPr>
    <w:rPr>
      <w:rFonts w:ascii="Titillium WebBold" w:hAnsi="Titillium WebBold"/>
      <w:color w:val="FFFFFF" w:themeColor="background1"/>
      <w:sz w:val="30"/>
      <w:szCs w:val="30"/>
    </w:rPr>
  </w:style>
  <w:style w:type="paragraph" w:customStyle="1" w:styleId="AGLCoverHeadline">
    <w:name w:val="AGL Cover Headline"/>
    <w:basedOn w:val="Normal"/>
    <w:rsid w:val="00792FB1"/>
    <w:pPr>
      <w:spacing w:line="700" w:lineRule="exact"/>
    </w:pPr>
    <w:rPr>
      <w:rFonts w:ascii="Titillium WebLight" w:hAnsi="Titillium WebLight"/>
      <w:color w:val="FFFFFF" w:themeColor="background1"/>
      <w:sz w:val="70"/>
      <w:szCs w:val="70"/>
    </w:rPr>
  </w:style>
  <w:style w:type="table" w:styleId="TableGrid">
    <w:name w:val="Table Grid"/>
    <w:basedOn w:val="TableNormal"/>
    <w:uiPriority w:val="59"/>
    <w:rsid w:val="004524A0"/>
    <w:tblPr>
      <w:tblBorders>
        <w:top w:val="single" w:sz="4" w:space="0" w:color="auto"/>
        <w:bottom w:val="single" w:sz="4" w:space="0" w:color="auto"/>
        <w:insideH w:val="single" w:sz="4" w:space="0" w:color="auto"/>
      </w:tblBorders>
      <w:tblCellMar>
        <w:top w:w="113" w:type="dxa"/>
        <w:left w:w="0" w:type="dxa"/>
        <w:bottom w:w="142" w:type="dxa"/>
        <w:right w:w="0" w:type="dxa"/>
      </w:tblCellMar>
    </w:tblPr>
    <w:tblStylePr w:type="firstRow">
      <w:rPr>
        <w:b/>
        <w:color w:val="001CB0" w:themeColor="text2"/>
      </w:rPr>
      <w:tblPr/>
      <w:tcPr>
        <w:tcBorders>
          <w:top w:val="nil"/>
        </w:tcBorders>
      </w:tcPr>
    </w:tblStylePr>
    <w:tblStylePr w:type="firstCol">
      <w:rPr>
        <w:b/>
        <w:color w:val="001CB0" w:themeColor="text2"/>
      </w:rPr>
    </w:tblStylePr>
  </w:style>
  <w:style w:type="paragraph" w:customStyle="1" w:styleId="Keyline">
    <w:name w:val="Keyline"/>
    <w:link w:val="KeylineChar"/>
    <w:qFormat/>
    <w:rsid w:val="002120D2"/>
    <w:pPr>
      <w:pBdr>
        <w:bottom w:val="single" w:sz="8" w:space="1" w:color="auto"/>
      </w:pBdr>
      <w:spacing w:after="320"/>
    </w:pPr>
  </w:style>
  <w:style w:type="character" w:customStyle="1" w:styleId="Blue">
    <w:name w:val="Blue"/>
    <w:basedOn w:val="DefaultParagraphFont"/>
    <w:uiPriority w:val="1"/>
    <w:qFormat/>
    <w:rsid w:val="00E821C3"/>
    <w:rPr>
      <w:b/>
      <w:color w:val="001CB0" w:themeColor="text2"/>
    </w:rPr>
  </w:style>
  <w:style w:type="character" w:customStyle="1" w:styleId="KeylineChar">
    <w:name w:val="Keyline Char"/>
    <w:basedOn w:val="HeaderChar"/>
    <w:link w:val="Keyline"/>
    <w:rsid w:val="002120D2"/>
    <w:rPr>
      <w:sz w:val="16"/>
    </w:rPr>
  </w:style>
  <w:style w:type="character" w:styleId="PlaceholderText">
    <w:name w:val="Placeholder Text"/>
    <w:basedOn w:val="DefaultParagraphFont"/>
    <w:uiPriority w:val="99"/>
    <w:semiHidden/>
    <w:rsid w:val="00E821C3"/>
    <w:rPr>
      <w:color w:val="808080"/>
    </w:rPr>
  </w:style>
  <w:style w:type="character" w:customStyle="1" w:styleId="Heading2Char">
    <w:name w:val="Heading 2 Char"/>
    <w:basedOn w:val="DefaultParagraphFont"/>
    <w:link w:val="Heading2"/>
    <w:uiPriority w:val="9"/>
    <w:rsid w:val="00AA6082"/>
    <w:rPr>
      <w:rFonts w:asciiTheme="majorHAnsi" w:eastAsiaTheme="majorEastAsia" w:hAnsiTheme="majorHAnsi" w:cstheme="majorBidi"/>
      <w:b/>
      <w:bCs/>
      <w:sz w:val="20"/>
      <w:szCs w:val="32"/>
    </w:rPr>
  </w:style>
  <w:style w:type="table" w:customStyle="1" w:styleId="Frame">
    <w:name w:val="Frame"/>
    <w:basedOn w:val="TableNormal"/>
    <w:uiPriority w:val="99"/>
    <w:rsid w:val="00BA2C2A"/>
    <w:tblPr>
      <w:tblCellMar>
        <w:left w:w="0" w:type="dxa"/>
        <w:right w:w="0" w:type="dxa"/>
      </w:tblCellMar>
    </w:tblPr>
  </w:style>
  <w:style w:type="paragraph" w:customStyle="1" w:styleId="Address">
    <w:name w:val="Address"/>
    <w:basedOn w:val="Normal"/>
    <w:link w:val="AddressChar"/>
    <w:qFormat/>
    <w:rsid w:val="008F6655"/>
    <w:pPr>
      <w:widowControl w:val="0"/>
      <w:tabs>
        <w:tab w:val="clear" w:pos="1531"/>
      </w:tabs>
      <w:suppressAutoHyphens/>
      <w:autoSpaceDE w:val="0"/>
      <w:autoSpaceDN w:val="0"/>
      <w:adjustRightInd w:val="0"/>
      <w:spacing w:after="240" w:line="408" w:lineRule="auto"/>
      <w:contextualSpacing/>
      <w:textAlignment w:val="center"/>
    </w:pPr>
    <w:rPr>
      <w:rFonts w:ascii="Arial" w:hAnsi="Arial" w:cs="Arial"/>
      <w:b/>
      <w:bCs/>
      <w:spacing w:val="-4"/>
      <w:szCs w:val="20"/>
      <w:lang w:val="en-US"/>
    </w:rPr>
  </w:style>
  <w:style w:type="character" w:customStyle="1" w:styleId="AddressChar">
    <w:name w:val="Address Char"/>
    <w:basedOn w:val="DefaultParagraphFont"/>
    <w:link w:val="Address"/>
    <w:rsid w:val="008F6655"/>
    <w:rPr>
      <w:rFonts w:ascii="Arial" w:hAnsi="Arial" w:cs="Arial"/>
      <w:b/>
      <w:bCs/>
      <w:spacing w:val="-4"/>
      <w:sz w:val="20"/>
      <w:szCs w:val="20"/>
      <w:lang w:val="en-US"/>
    </w:rPr>
  </w:style>
  <w:style w:type="paragraph" w:styleId="Date">
    <w:name w:val="Date"/>
    <w:basedOn w:val="Normal"/>
    <w:next w:val="Normal"/>
    <w:link w:val="DateChar"/>
    <w:uiPriority w:val="99"/>
    <w:unhideWhenUsed/>
    <w:qFormat/>
    <w:rsid w:val="008F6655"/>
    <w:pPr>
      <w:spacing w:after="500"/>
    </w:pPr>
    <w:rPr>
      <w:b/>
    </w:rPr>
  </w:style>
  <w:style w:type="character" w:customStyle="1" w:styleId="DateChar">
    <w:name w:val="Date Char"/>
    <w:basedOn w:val="DefaultParagraphFont"/>
    <w:link w:val="Date"/>
    <w:uiPriority w:val="99"/>
    <w:rsid w:val="008F6655"/>
    <w:rPr>
      <w:b/>
      <w:sz w:val="20"/>
    </w:rPr>
  </w:style>
  <w:style w:type="character" w:styleId="Hyperlink">
    <w:name w:val="Hyperlink"/>
    <w:basedOn w:val="DefaultParagraphFont"/>
    <w:uiPriority w:val="99"/>
    <w:unhideWhenUsed/>
    <w:rsid w:val="0057605C"/>
    <w:rPr>
      <w:color w:val="000000" w:themeColor="hyperlink"/>
      <w:u w:val="single"/>
    </w:rPr>
  </w:style>
  <w:style w:type="character" w:customStyle="1" w:styleId="Mention1">
    <w:name w:val="Mention1"/>
    <w:basedOn w:val="DefaultParagraphFont"/>
    <w:uiPriority w:val="99"/>
    <w:semiHidden/>
    <w:unhideWhenUsed/>
    <w:rsid w:val="0057605C"/>
    <w:rPr>
      <w:color w:val="2B579A"/>
      <w:shd w:val="clear" w:color="auto" w:fill="E6E6E6"/>
    </w:rPr>
  </w:style>
  <w:style w:type="paragraph" w:styleId="FootnoteText">
    <w:name w:val="footnote text"/>
    <w:basedOn w:val="Normal"/>
    <w:link w:val="FootnoteTextChar"/>
    <w:uiPriority w:val="99"/>
    <w:semiHidden/>
    <w:unhideWhenUsed/>
    <w:rsid w:val="003459BC"/>
    <w:pPr>
      <w:spacing w:after="0" w:line="240" w:lineRule="auto"/>
    </w:pPr>
    <w:rPr>
      <w:szCs w:val="20"/>
    </w:rPr>
  </w:style>
  <w:style w:type="character" w:customStyle="1" w:styleId="FootnoteTextChar">
    <w:name w:val="Footnote Text Char"/>
    <w:basedOn w:val="DefaultParagraphFont"/>
    <w:link w:val="FootnoteText"/>
    <w:uiPriority w:val="99"/>
    <w:semiHidden/>
    <w:rsid w:val="003459BC"/>
    <w:rPr>
      <w:sz w:val="20"/>
      <w:szCs w:val="20"/>
    </w:rPr>
  </w:style>
  <w:style w:type="character" w:styleId="FootnoteReference">
    <w:name w:val="footnote reference"/>
    <w:basedOn w:val="DefaultParagraphFont"/>
    <w:uiPriority w:val="99"/>
    <w:semiHidden/>
    <w:unhideWhenUsed/>
    <w:rsid w:val="003459BC"/>
    <w:rPr>
      <w:vertAlign w:val="superscript"/>
    </w:rPr>
  </w:style>
  <w:style w:type="character" w:styleId="CommentReference">
    <w:name w:val="annotation reference"/>
    <w:basedOn w:val="DefaultParagraphFont"/>
    <w:uiPriority w:val="99"/>
    <w:semiHidden/>
    <w:unhideWhenUsed/>
    <w:rsid w:val="000A1439"/>
    <w:rPr>
      <w:sz w:val="16"/>
      <w:szCs w:val="16"/>
    </w:rPr>
  </w:style>
  <w:style w:type="paragraph" w:styleId="CommentText">
    <w:name w:val="annotation text"/>
    <w:basedOn w:val="Normal"/>
    <w:link w:val="CommentTextChar"/>
    <w:uiPriority w:val="99"/>
    <w:unhideWhenUsed/>
    <w:rsid w:val="000A1439"/>
    <w:pPr>
      <w:spacing w:line="240" w:lineRule="auto"/>
    </w:pPr>
    <w:rPr>
      <w:szCs w:val="20"/>
    </w:rPr>
  </w:style>
  <w:style w:type="character" w:customStyle="1" w:styleId="CommentTextChar">
    <w:name w:val="Comment Text Char"/>
    <w:basedOn w:val="DefaultParagraphFont"/>
    <w:link w:val="CommentText"/>
    <w:uiPriority w:val="99"/>
    <w:rsid w:val="000A1439"/>
    <w:rPr>
      <w:sz w:val="20"/>
      <w:szCs w:val="20"/>
    </w:rPr>
  </w:style>
  <w:style w:type="paragraph" w:styleId="CommentSubject">
    <w:name w:val="annotation subject"/>
    <w:basedOn w:val="CommentText"/>
    <w:next w:val="CommentText"/>
    <w:link w:val="CommentSubjectChar"/>
    <w:uiPriority w:val="99"/>
    <w:semiHidden/>
    <w:unhideWhenUsed/>
    <w:rsid w:val="000A1439"/>
    <w:rPr>
      <w:b/>
      <w:bCs/>
    </w:rPr>
  </w:style>
  <w:style w:type="character" w:customStyle="1" w:styleId="CommentSubjectChar">
    <w:name w:val="Comment Subject Char"/>
    <w:basedOn w:val="CommentTextChar"/>
    <w:link w:val="CommentSubject"/>
    <w:uiPriority w:val="99"/>
    <w:semiHidden/>
    <w:rsid w:val="000A1439"/>
    <w:rPr>
      <w:b/>
      <w:bCs/>
      <w:sz w:val="20"/>
      <w:szCs w:val="20"/>
    </w:rPr>
  </w:style>
  <w:style w:type="paragraph" w:styleId="Revision">
    <w:name w:val="Revision"/>
    <w:hidden/>
    <w:uiPriority w:val="99"/>
    <w:semiHidden/>
    <w:rsid w:val="000A1439"/>
    <w:rPr>
      <w:sz w:val="20"/>
    </w:rPr>
  </w:style>
  <w:style w:type="character" w:styleId="FollowedHyperlink">
    <w:name w:val="FollowedHyperlink"/>
    <w:basedOn w:val="DefaultParagraphFont"/>
    <w:uiPriority w:val="99"/>
    <w:semiHidden/>
    <w:unhideWhenUsed/>
    <w:rsid w:val="006E1984"/>
    <w:rPr>
      <w:color w:val="000000" w:themeColor="followedHyperlink"/>
      <w:u w:val="single"/>
    </w:rPr>
  </w:style>
  <w:style w:type="character" w:styleId="Mention">
    <w:name w:val="Mention"/>
    <w:basedOn w:val="DefaultParagraphFont"/>
    <w:uiPriority w:val="99"/>
    <w:semiHidden/>
    <w:unhideWhenUsed/>
    <w:rsid w:val="00BD7164"/>
    <w:rPr>
      <w:color w:val="2B579A"/>
      <w:shd w:val="clear" w:color="auto" w:fill="E6E6E6"/>
    </w:rPr>
  </w:style>
  <w:style w:type="paragraph" w:styleId="ListParagraph">
    <w:name w:val="List Paragraph"/>
    <w:basedOn w:val="Normal"/>
    <w:link w:val="ListParagraphChar"/>
    <w:uiPriority w:val="34"/>
    <w:qFormat/>
    <w:rsid w:val="00C1284C"/>
    <w:pPr>
      <w:tabs>
        <w:tab w:val="clear" w:pos="1531"/>
      </w:tabs>
      <w:spacing w:after="160" w:line="259" w:lineRule="auto"/>
      <w:ind w:left="720"/>
      <w:contextualSpacing/>
    </w:pPr>
    <w:rPr>
      <w:rFonts w:eastAsiaTheme="minorHAnsi"/>
      <w:sz w:val="22"/>
      <w:szCs w:val="22"/>
    </w:rPr>
  </w:style>
  <w:style w:type="paragraph" w:customStyle="1" w:styleId="Default">
    <w:name w:val="Default"/>
    <w:rsid w:val="005C6E31"/>
    <w:pPr>
      <w:autoSpaceDE w:val="0"/>
      <w:autoSpaceDN w:val="0"/>
      <w:adjustRightInd w:val="0"/>
    </w:pPr>
    <w:rPr>
      <w:rFonts w:ascii="Arial" w:hAnsi="Arial" w:cs="Arial"/>
      <w:color w:val="000000"/>
    </w:rPr>
  </w:style>
  <w:style w:type="character" w:styleId="UnresolvedMention">
    <w:name w:val="Unresolved Mention"/>
    <w:basedOn w:val="DefaultParagraphFont"/>
    <w:uiPriority w:val="99"/>
    <w:semiHidden/>
    <w:unhideWhenUsed/>
    <w:rsid w:val="007F654F"/>
    <w:rPr>
      <w:color w:val="808080"/>
      <w:shd w:val="clear" w:color="auto" w:fill="E6E6E6"/>
    </w:rPr>
  </w:style>
  <w:style w:type="paragraph" w:customStyle="1" w:styleId="RecipientDetails">
    <w:name w:val="Recipient Details"/>
    <w:next w:val="Normal"/>
    <w:rsid w:val="007F43CE"/>
    <w:pPr>
      <w:spacing w:before="120" w:after="120"/>
    </w:pPr>
    <w:rPr>
      <w:rFonts w:ascii="Verdana" w:eastAsia="Times New Roman" w:hAnsi="Verdana" w:cs="Times New Roman"/>
      <w:b/>
      <w:sz w:val="18"/>
      <w:szCs w:val="20"/>
      <w:lang w:eastAsia="en-AU"/>
    </w:rPr>
  </w:style>
  <w:style w:type="character" w:customStyle="1" w:styleId="ListParagraphChar">
    <w:name w:val="List Paragraph Char"/>
    <w:basedOn w:val="DefaultParagraphFont"/>
    <w:link w:val="ListParagraph"/>
    <w:uiPriority w:val="34"/>
    <w:locked/>
    <w:rsid w:val="004725A1"/>
    <w:rPr>
      <w:rFonts w:eastAsiaTheme="minorHAnsi"/>
      <w:sz w:val="22"/>
      <w:szCs w:val="22"/>
    </w:rPr>
  </w:style>
  <w:style w:type="character" w:customStyle="1" w:styleId="Formfield1">
    <w:name w:val="Formfield1"/>
    <w:basedOn w:val="DefaultParagraphFont"/>
    <w:uiPriority w:val="1"/>
    <w:rsid w:val="00FC13FE"/>
    <w:rPr>
      <w:rFonts w:asciiTheme="minorHAnsi" w:hAnsiTheme="minorHAnsi"/>
      <w:color w:val="0070C0"/>
      <w:sz w:val="22"/>
    </w:rPr>
  </w:style>
  <w:style w:type="paragraph" w:styleId="NormalWeb">
    <w:name w:val="Normal (Web)"/>
    <w:basedOn w:val="Normal"/>
    <w:uiPriority w:val="99"/>
    <w:semiHidden/>
    <w:unhideWhenUsed/>
    <w:rsid w:val="00B52D20"/>
    <w:pPr>
      <w:tabs>
        <w:tab w:val="clear" w:pos="1531"/>
      </w:tabs>
      <w:spacing w:before="100" w:beforeAutospacing="1" w:after="100" w:afterAutospacing="1" w:line="240"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94733">
      <w:bodyDiv w:val="1"/>
      <w:marLeft w:val="0"/>
      <w:marRight w:val="0"/>
      <w:marTop w:val="0"/>
      <w:marBottom w:val="0"/>
      <w:divBdr>
        <w:top w:val="none" w:sz="0" w:space="0" w:color="auto"/>
        <w:left w:val="none" w:sz="0" w:space="0" w:color="auto"/>
        <w:bottom w:val="none" w:sz="0" w:space="0" w:color="auto"/>
        <w:right w:val="none" w:sz="0" w:space="0" w:color="auto"/>
      </w:divBdr>
    </w:div>
    <w:div w:id="44179207">
      <w:bodyDiv w:val="1"/>
      <w:marLeft w:val="0"/>
      <w:marRight w:val="0"/>
      <w:marTop w:val="0"/>
      <w:marBottom w:val="0"/>
      <w:divBdr>
        <w:top w:val="none" w:sz="0" w:space="0" w:color="auto"/>
        <w:left w:val="none" w:sz="0" w:space="0" w:color="auto"/>
        <w:bottom w:val="none" w:sz="0" w:space="0" w:color="auto"/>
        <w:right w:val="none" w:sz="0" w:space="0" w:color="auto"/>
      </w:divBdr>
    </w:div>
    <w:div w:id="49813447">
      <w:bodyDiv w:val="1"/>
      <w:marLeft w:val="0"/>
      <w:marRight w:val="0"/>
      <w:marTop w:val="0"/>
      <w:marBottom w:val="0"/>
      <w:divBdr>
        <w:top w:val="none" w:sz="0" w:space="0" w:color="auto"/>
        <w:left w:val="none" w:sz="0" w:space="0" w:color="auto"/>
        <w:bottom w:val="none" w:sz="0" w:space="0" w:color="auto"/>
        <w:right w:val="none" w:sz="0" w:space="0" w:color="auto"/>
      </w:divBdr>
      <w:divsChild>
        <w:div w:id="463088296">
          <w:marLeft w:val="274"/>
          <w:marRight w:val="0"/>
          <w:marTop w:val="0"/>
          <w:marBottom w:val="80"/>
          <w:divBdr>
            <w:top w:val="none" w:sz="0" w:space="0" w:color="auto"/>
            <w:left w:val="none" w:sz="0" w:space="0" w:color="auto"/>
            <w:bottom w:val="none" w:sz="0" w:space="0" w:color="auto"/>
            <w:right w:val="none" w:sz="0" w:space="0" w:color="auto"/>
          </w:divBdr>
        </w:div>
        <w:div w:id="637301521">
          <w:marLeft w:val="274"/>
          <w:marRight w:val="0"/>
          <w:marTop w:val="0"/>
          <w:marBottom w:val="80"/>
          <w:divBdr>
            <w:top w:val="none" w:sz="0" w:space="0" w:color="auto"/>
            <w:left w:val="none" w:sz="0" w:space="0" w:color="auto"/>
            <w:bottom w:val="none" w:sz="0" w:space="0" w:color="auto"/>
            <w:right w:val="none" w:sz="0" w:space="0" w:color="auto"/>
          </w:divBdr>
        </w:div>
      </w:divsChild>
    </w:div>
    <w:div w:id="58409189">
      <w:bodyDiv w:val="1"/>
      <w:marLeft w:val="0"/>
      <w:marRight w:val="0"/>
      <w:marTop w:val="0"/>
      <w:marBottom w:val="0"/>
      <w:divBdr>
        <w:top w:val="none" w:sz="0" w:space="0" w:color="auto"/>
        <w:left w:val="none" w:sz="0" w:space="0" w:color="auto"/>
        <w:bottom w:val="none" w:sz="0" w:space="0" w:color="auto"/>
        <w:right w:val="none" w:sz="0" w:space="0" w:color="auto"/>
      </w:divBdr>
    </w:div>
    <w:div w:id="80685533">
      <w:bodyDiv w:val="1"/>
      <w:marLeft w:val="0"/>
      <w:marRight w:val="0"/>
      <w:marTop w:val="0"/>
      <w:marBottom w:val="0"/>
      <w:divBdr>
        <w:top w:val="none" w:sz="0" w:space="0" w:color="auto"/>
        <w:left w:val="none" w:sz="0" w:space="0" w:color="auto"/>
        <w:bottom w:val="none" w:sz="0" w:space="0" w:color="auto"/>
        <w:right w:val="none" w:sz="0" w:space="0" w:color="auto"/>
      </w:divBdr>
    </w:div>
    <w:div w:id="133834925">
      <w:bodyDiv w:val="1"/>
      <w:marLeft w:val="0"/>
      <w:marRight w:val="0"/>
      <w:marTop w:val="0"/>
      <w:marBottom w:val="0"/>
      <w:divBdr>
        <w:top w:val="none" w:sz="0" w:space="0" w:color="auto"/>
        <w:left w:val="none" w:sz="0" w:space="0" w:color="auto"/>
        <w:bottom w:val="none" w:sz="0" w:space="0" w:color="auto"/>
        <w:right w:val="none" w:sz="0" w:space="0" w:color="auto"/>
      </w:divBdr>
    </w:div>
    <w:div w:id="197663614">
      <w:bodyDiv w:val="1"/>
      <w:marLeft w:val="0"/>
      <w:marRight w:val="0"/>
      <w:marTop w:val="0"/>
      <w:marBottom w:val="0"/>
      <w:divBdr>
        <w:top w:val="none" w:sz="0" w:space="0" w:color="auto"/>
        <w:left w:val="none" w:sz="0" w:space="0" w:color="auto"/>
        <w:bottom w:val="none" w:sz="0" w:space="0" w:color="auto"/>
        <w:right w:val="none" w:sz="0" w:space="0" w:color="auto"/>
      </w:divBdr>
    </w:div>
    <w:div w:id="207961278">
      <w:bodyDiv w:val="1"/>
      <w:marLeft w:val="0"/>
      <w:marRight w:val="0"/>
      <w:marTop w:val="0"/>
      <w:marBottom w:val="0"/>
      <w:divBdr>
        <w:top w:val="none" w:sz="0" w:space="0" w:color="auto"/>
        <w:left w:val="none" w:sz="0" w:space="0" w:color="auto"/>
        <w:bottom w:val="none" w:sz="0" w:space="0" w:color="auto"/>
        <w:right w:val="none" w:sz="0" w:space="0" w:color="auto"/>
      </w:divBdr>
    </w:div>
    <w:div w:id="253129344">
      <w:bodyDiv w:val="1"/>
      <w:marLeft w:val="0"/>
      <w:marRight w:val="0"/>
      <w:marTop w:val="0"/>
      <w:marBottom w:val="0"/>
      <w:divBdr>
        <w:top w:val="none" w:sz="0" w:space="0" w:color="auto"/>
        <w:left w:val="none" w:sz="0" w:space="0" w:color="auto"/>
        <w:bottom w:val="none" w:sz="0" w:space="0" w:color="auto"/>
        <w:right w:val="none" w:sz="0" w:space="0" w:color="auto"/>
      </w:divBdr>
    </w:div>
    <w:div w:id="260063723">
      <w:bodyDiv w:val="1"/>
      <w:marLeft w:val="0"/>
      <w:marRight w:val="0"/>
      <w:marTop w:val="0"/>
      <w:marBottom w:val="0"/>
      <w:divBdr>
        <w:top w:val="none" w:sz="0" w:space="0" w:color="auto"/>
        <w:left w:val="none" w:sz="0" w:space="0" w:color="auto"/>
        <w:bottom w:val="none" w:sz="0" w:space="0" w:color="auto"/>
        <w:right w:val="none" w:sz="0" w:space="0" w:color="auto"/>
      </w:divBdr>
    </w:div>
    <w:div w:id="332690132">
      <w:bodyDiv w:val="1"/>
      <w:marLeft w:val="0"/>
      <w:marRight w:val="0"/>
      <w:marTop w:val="0"/>
      <w:marBottom w:val="0"/>
      <w:divBdr>
        <w:top w:val="none" w:sz="0" w:space="0" w:color="auto"/>
        <w:left w:val="none" w:sz="0" w:space="0" w:color="auto"/>
        <w:bottom w:val="none" w:sz="0" w:space="0" w:color="auto"/>
        <w:right w:val="none" w:sz="0" w:space="0" w:color="auto"/>
      </w:divBdr>
    </w:div>
    <w:div w:id="365568611">
      <w:bodyDiv w:val="1"/>
      <w:marLeft w:val="0"/>
      <w:marRight w:val="0"/>
      <w:marTop w:val="0"/>
      <w:marBottom w:val="0"/>
      <w:divBdr>
        <w:top w:val="none" w:sz="0" w:space="0" w:color="auto"/>
        <w:left w:val="none" w:sz="0" w:space="0" w:color="auto"/>
        <w:bottom w:val="none" w:sz="0" w:space="0" w:color="auto"/>
        <w:right w:val="none" w:sz="0" w:space="0" w:color="auto"/>
      </w:divBdr>
    </w:div>
    <w:div w:id="397675217">
      <w:bodyDiv w:val="1"/>
      <w:marLeft w:val="0"/>
      <w:marRight w:val="0"/>
      <w:marTop w:val="0"/>
      <w:marBottom w:val="0"/>
      <w:divBdr>
        <w:top w:val="none" w:sz="0" w:space="0" w:color="auto"/>
        <w:left w:val="none" w:sz="0" w:space="0" w:color="auto"/>
        <w:bottom w:val="none" w:sz="0" w:space="0" w:color="auto"/>
        <w:right w:val="none" w:sz="0" w:space="0" w:color="auto"/>
      </w:divBdr>
    </w:div>
    <w:div w:id="440147255">
      <w:bodyDiv w:val="1"/>
      <w:marLeft w:val="0"/>
      <w:marRight w:val="0"/>
      <w:marTop w:val="0"/>
      <w:marBottom w:val="0"/>
      <w:divBdr>
        <w:top w:val="none" w:sz="0" w:space="0" w:color="auto"/>
        <w:left w:val="none" w:sz="0" w:space="0" w:color="auto"/>
        <w:bottom w:val="none" w:sz="0" w:space="0" w:color="auto"/>
        <w:right w:val="none" w:sz="0" w:space="0" w:color="auto"/>
      </w:divBdr>
    </w:div>
    <w:div w:id="482160048">
      <w:bodyDiv w:val="1"/>
      <w:marLeft w:val="0"/>
      <w:marRight w:val="0"/>
      <w:marTop w:val="0"/>
      <w:marBottom w:val="0"/>
      <w:divBdr>
        <w:top w:val="none" w:sz="0" w:space="0" w:color="auto"/>
        <w:left w:val="none" w:sz="0" w:space="0" w:color="auto"/>
        <w:bottom w:val="none" w:sz="0" w:space="0" w:color="auto"/>
        <w:right w:val="none" w:sz="0" w:space="0" w:color="auto"/>
      </w:divBdr>
    </w:div>
    <w:div w:id="486484950">
      <w:bodyDiv w:val="1"/>
      <w:marLeft w:val="0"/>
      <w:marRight w:val="0"/>
      <w:marTop w:val="0"/>
      <w:marBottom w:val="0"/>
      <w:divBdr>
        <w:top w:val="none" w:sz="0" w:space="0" w:color="auto"/>
        <w:left w:val="none" w:sz="0" w:space="0" w:color="auto"/>
        <w:bottom w:val="none" w:sz="0" w:space="0" w:color="auto"/>
        <w:right w:val="none" w:sz="0" w:space="0" w:color="auto"/>
      </w:divBdr>
    </w:div>
    <w:div w:id="496265907">
      <w:bodyDiv w:val="1"/>
      <w:marLeft w:val="0"/>
      <w:marRight w:val="0"/>
      <w:marTop w:val="0"/>
      <w:marBottom w:val="0"/>
      <w:divBdr>
        <w:top w:val="none" w:sz="0" w:space="0" w:color="auto"/>
        <w:left w:val="none" w:sz="0" w:space="0" w:color="auto"/>
        <w:bottom w:val="none" w:sz="0" w:space="0" w:color="auto"/>
        <w:right w:val="none" w:sz="0" w:space="0" w:color="auto"/>
      </w:divBdr>
    </w:div>
    <w:div w:id="502553238">
      <w:bodyDiv w:val="1"/>
      <w:marLeft w:val="0"/>
      <w:marRight w:val="0"/>
      <w:marTop w:val="0"/>
      <w:marBottom w:val="0"/>
      <w:divBdr>
        <w:top w:val="none" w:sz="0" w:space="0" w:color="auto"/>
        <w:left w:val="none" w:sz="0" w:space="0" w:color="auto"/>
        <w:bottom w:val="none" w:sz="0" w:space="0" w:color="auto"/>
        <w:right w:val="none" w:sz="0" w:space="0" w:color="auto"/>
      </w:divBdr>
    </w:div>
    <w:div w:id="503474934">
      <w:bodyDiv w:val="1"/>
      <w:marLeft w:val="0"/>
      <w:marRight w:val="0"/>
      <w:marTop w:val="0"/>
      <w:marBottom w:val="0"/>
      <w:divBdr>
        <w:top w:val="none" w:sz="0" w:space="0" w:color="auto"/>
        <w:left w:val="none" w:sz="0" w:space="0" w:color="auto"/>
        <w:bottom w:val="none" w:sz="0" w:space="0" w:color="auto"/>
        <w:right w:val="none" w:sz="0" w:space="0" w:color="auto"/>
      </w:divBdr>
    </w:div>
    <w:div w:id="538511882">
      <w:bodyDiv w:val="1"/>
      <w:marLeft w:val="0"/>
      <w:marRight w:val="0"/>
      <w:marTop w:val="0"/>
      <w:marBottom w:val="0"/>
      <w:divBdr>
        <w:top w:val="none" w:sz="0" w:space="0" w:color="auto"/>
        <w:left w:val="none" w:sz="0" w:space="0" w:color="auto"/>
        <w:bottom w:val="none" w:sz="0" w:space="0" w:color="auto"/>
        <w:right w:val="none" w:sz="0" w:space="0" w:color="auto"/>
      </w:divBdr>
    </w:div>
    <w:div w:id="590361099">
      <w:bodyDiv w:val="1"/>
      <w:marLeft w:val="0"/>
      <w:marRight w:val="0"/>
      <w:marTop w:val="0"/>
      <w:marBottom w:val="0"/>
      <w:divBdr>
        <w:top w:val="none" w:sz="0" w:space="0" w:color="auto"/>
        <w:left w:val="none" w:sz="0" w:space="0" w:color="auto"/>
        <w:bottom w:val="none" w:sz="0" w:space="0" w:color="auto"/>
        <w:right w:val="none" w:sz="0" w:space="0" w:color="auto"/>
      </w:divBdr>
    </w:div>
    <w:div w:id="691078972">
      <w:bodyDiv w:val="1"/>
      <w:marLeft w:val="0"/>
      <w:marRight w:val="0"/>
      <w:marTop w:val="0"/>
      <w:marBottom w:val="0"/>
      <w:divBdr>
        <w:top w:val="none" w:sz="0" w:space="0" w:color="auto"/>
        <w:left w:val="none" w:sz="0" w:space="0" w:color="auto"/>
        <w:bottom w:val="none" w:sz="0" w:space="0" w:color="auto"/>
        <w:right w:val="none" w:sz="0" w:space="0" w:color="auto"/>
      </w:divBdr>
    </w:div>
    <w:div w:id="720053217">
      <w:bodyDiv w:val="1"/>
      <w:marLeft w:val="0"/>
      <w:marRight w:val="0"/>
      <w:marTop w:val="0"/>
      <w:marBottom w:val="0"/>
      <w:divBdr>
        <w:top w:val="none" w:sz="0" w:space="0" w:color="auto"/>
        <w:left w:val="none" w:sz="0" w:space="0" w:color="auto"/>
        <w:bottom w:val="none" w:sz="0" w:space="0" w:color="auto"/>
        <w:right w:val="none" w:sz="0" w:space="0" w:color="auto"/>
      </w:divBdr>
    </w:div>
    <w:div w:id="797383832">
      <w:bodyDiv w:val="1"/>
      <w:marLeft w:val="0"/>
      <w:marRight w:val="0"/>
      <w:marTop w:val="0"/>
      <w:marBottom w:val="0"/>
      <w:divBdr>
        <w:top w:val="none" w:sz="0" w:space="0" w:color="auto"/>
        <w:left w:val="none" w:sz="0" w:space="0" w:color="auto"/>
        <w:bottom w:val="none" w:sz="0" w:space="0" w:color="auto"/>
        <w:right w:val="none" w:sz="0" w:space="0" w:color="auto"/>
      </w:divBdr>
    </w:div>
    <w:div w:id="819344837">
      <w:bodyDiv w:val="1"/>
      <w:marLeft w:val="0"/>
      <w:marRight w:val="0"/>
      <w:marTop w:val="0"/>
      <w:marBottom w:val="0"/>
      <w:divBdr>
        <w:top w:val="none" w:sz="0" w:space="0" w:color="auto"/>
        <w:left w:val="none" w:sz="0" w:space="0" w:color="auto"/>
        <w:bottom w:val="none" w:sz="0" w:space="0" w:color="auto"/>
        <w:right w:val="none" w:sz="0" w:space="0" w:color="auto"/>
      </w:divBdr>
      <w:divsChild>
        <w:div w:id="342981128">
          <w:marLeft w:val="274"/>
          <w:marRight w:val="0"/>
          <w:marTop w:val="0"/>
          <w:marBottom w:val="80"/>
          <w:divBdr>
            <w:top w:val="none" w:sz="0" w:space="0" w:color="auto"/>
            <w:left w:val="none" w:sz="0" w:space="0" w:color="auto"/>
            <w:bottom w:val="none" w:sz="0" w:space="0" w:color="auto"/>
            <w:right w:val="none" w:sz="0" w:space="0" w:color="auto"/>
          </w:divBdr>
        </w:div>
        <w:div w:id="837187450">
          <w:marLeft w:val="274"/>
          <w:marRight w:val="0"/>
          <w:marTop w:val="0"/>
          <w:marBottom w:val="80"/>
          <w:divBdr>
            <w:top w:val="none" w:sz="0" w:space="0" w:color="auto"/>
            <w:left w:val="none" w:sz="0" w:space="0" w:color="auto"/>
            <w:bottom w:val="none" w:sz="0" w:space="0" w:color="auto"/>
            <w:right w:val="none" w:sz="0" w:space="0" w:color="auto"/>
          </w:divBdr>
        </w:div>
        <w:div w:id="371728110">
          <w:marLeft w:val="274"/>
          <w:marRight w:val="0"/>
          <w:marTop w:val="0"/>
          <w:marBottom w:val="80"/>
          <w:divBdr>
            <w:top w:val="none" w:sz="0" w:space="0" w:color="auto"/>
            <w:left w:val="none" w:sz="0" w:space="0" w:color="auto"/>
            <w:bottom w:val="none" w:sz="0" w:space="0" w:color="auto"/>
            <w:right w:val="none" w:sz="0" w:space="0" w:color="auto"/>
          </w:divBdr>
        </w:div>
      </w:divsChild>
    </w:div>
    <w:div w:id="838738193">
      <w:bodyDiv w:val="1"/>
      <w:marLeft w:val="0"/>
      <w:marRight w:val="0"/>
      <w:marTop w:val="0"/>
      <w:marBottom w:val="0"/>
      <w:divBdr>
        <w:top w:val="none" w:sz="0" w:space="0" w:color="auto"/>
        <w:left w:val="none" w:sz="0" w:space="0" w:color="auto"/>
        <w:bottom w:val="none" w:sz="0" w:space="0" w:color="auto"/>
        <w:right w:val="none" w:sz="0" w:space="0" w:color="auto"/>
      </w:divBdr>
    </w:div>
    <w:div w:id="848327982">
      <w:bodyDiv w:val="1"/>
      <w:marLeft w:val="0"/>
      <w:marRight w:val="0"/>
      <w:marTop w:val="0"/>
      <w:marBottom w:val="0"/>
      <w:divBdr>
        <w:top w:val="none" w:sz="0" w:space="0" w:color="auto"/>
        <w:left w:val="none" w:sz="0" w:space="0" w:color="auto"/>
        <w:bottom w:val="none" w:sz="0" w:space="0" w:color="auto"/>
        <w:right w:val="none" w:sz="0" w:space="0" w:color="auto"/>
      </w:divBdr>
    </w:div>
    <w:div w:id="852037532">
      <w:bodyDiv w:val="1"/>
      <w:marLeft w:val="0"/>
      <w:marRight w:val="0"/>
      <w:marTop w:val="0"/>
      <w:marBottom w:val="0"/>
      <w:divBdr>
        <w:top w:val="none" w:sz="0" w:space="0" w:color="auto"/>
        <w:left w:val="none" w:sz="0" w:space="0" w:color="auto"/>
        <w:bottom w:val="none" w:sz="0" w:space="0" w:color="auto"/>
        <w:right w:val="none" w:sz="0" w:space="0" w:color="auto"/>
      </w:divBdr>
    </w:div>
    <w:div w:id="919172860">
      <w:bodyDiv w:val="1"/>
      <w:marLeft w:val="0"/>
      <w:marRight w:val="0"/>
      <w:marTop w:val="0"/>
      <w:marBottom w:val="0"/>
      <w:divBdr>
        <w:top w:val="none" w:sz="0" w:space="0" w:color="auto"/>
        <w:left w:val="none" w:sz="0" w:space="0" w:color="auto"/>
        <w:bottom w:val="none" w:sz="0" w:space="0" w:color="auto"/>
        <w:right w:val="none" w:sz="0" w:space="0" w:color="auto"/>
      </w:divBdr>
    </w:div>
    <w:div w:id="955255733">
      <w:bodyDiv w:val="1"/>
      <w:marLeft w:val="0"/>
      <w:marRight w:val="0"/>
      <w:marTop w:val="0"/>
      <w:marBottom w:val="0"/>
      <w:divBdr>
        <w:top w:val="none" w:sz="0" w:space="0" w:color="auto"/>
        <w:left w:val="none" w:sz="0" w:space="0" w:color="auto"/>
        <w:bottom w:val="none" w:sz="0" w:space="0" w:color="auto"/>
        <w:right w:val="none" w:sz="0" w:space="0" w:color="auto"/>
      </w:divBdr>
    </w:div>
    <w:div w:id="994919285">
      <w:bodyDiv w:val="1"/>
      <w:marLeft w:val="0"/>
      <w:marRight w:val="0"/>
      <w:marTop w:val="0"/>
      <w:marBottom w:val="0"/>
      <w:divBdr>
        <w:top w:val="none" w:sz="0" w:space="0" w:color="auto"/>
        <w:left w:val="none" w:sz="0" w:space="0" w:color="auto"/>
        <w:bottom w:val="none" w:sz="0" w:space="0" w:color="auto"/>
        <w:right w:val="none" w:sz="0" w:space="0" w:color="auto"/>
      </w:divBdr>
      <w:divsChild>
        <w:div w:id="804472219">
          <w:marLeft w:val="274"/>
          <w:marRight w:val="0"/>
          <w:marTop w:val="0"/>
          <w:marBottom w:val="80"/>
          <w:divBdr>
            <w:top w:val="none" w:sz="0" w:space="0" w:color="auto"/>
            <w:left w:val="none" w:sz="0" w:space="0" w:color="auto"/>
            <w:bottom w:val="none" w:sz="0" w:space="0" w:color="auto"/>
            <w:right w:val="none" w:sz="0" w:space="0" w:color="auto"/>
          </w:divBdr>
        </w:div>
        <w:div w:id="981350328">
          <w:marLeft w:val="677"/>
          <w:marRight w:val="0"/>
          <w:marTop w:val="0"/>
          <w:marBottom w:val="80"/>
          <w:divBdr>
            <w:top w:val="none" w:sz="0" w:space="0" w:color="auto"/>
            <w:left w:val="none" w:sz="0" w:space="0" w:color="auto"/>
            <w:bottom w:val="none" w:sz="0" w:space="0" w:color="auto"/>
            <w:right w:val="none" w:sz="0" w:space="0" w:color="auto"/>
          </w:divBdr>
        </w:div>
        <w:div w:id="944732686">
          <w:marLeft w:val="677"/>
          <w:marRight w:val="0"/>
          <w:marTop w:val="0"/>
          <w:marBottom w:val="80"/>
          <w:divBdr>
            <w:top w:val="none" w:sz="0" w:space="0" w:color="auto"/>
            <w:left w:val="none" w:sz="0" w:space="0" w:color="auto"/>
            <w:bottom w:val="none" w:sz="0" w:space="0" w:color="auto"/>
            <w:right w:val="none" w:sz="0" w:space="0" w:color="auto"/>
          </w:divBdr>
        </w:div>
        <w:div w:id="1085999840">
          <w:marLeft w:val="677"/>
          <w:marRight w:val="0"/>
          <w:marTop w:val="0"/>
          <w:marBottom w:val="80"/>
          <w:divBdr>
            <w:top w:val="none" w:sz="0" w:space="0" w:color="auto"/>
            <w:left w:val="none" w:sz="0" w:space="0" w:color="auto"/>
            <w:bottom w:val="none" w:sz="0" w:space="0" w:color="auto"/>
            <w:right w:val="none" w:sz="0" w:space="0" w:color="auto"/>
          </w:divBdr>
        </w:div>
        <w:div w:id="1183666170">
          <w:marLeft w:val="274"/>
          <w:marRight w:val="0"/>
          <w:marTop w:val="0"/>
          <w:marBottom w:val="80"/>
          <w:divBdr>
            <w:top w:val="none" w:sz="0" w:space="0" w:color="auto"/>
            <w:left w:val="none" w:sz="0" w:space="0" w:color="auto"/>
            <w:bottom w:val="none" w:sz="0" w:space="0" w:color="auto"/>
            <w:right w:val="none" w:sz="0" w:space="0" w:color="auto"/>
          </w:divBdr>
        </w:div>
      </w:divsChild>
    </w:div>
    <w:div w:id="1006178379">
      <w:bodyDiv w:val="1"/>
      <w:marLeft w:val="0"/>
      <w:marRight w:val="0"/>
      <w:marTop w:val="0"/>
      <w:marBottom w:val="0"/>
      <w:divBdr>
        <w:top w:val="none" w:sz="0" w:space="0" w:color="auto"/>
        <w:left w:val="none" w:sz="0" w:space="0" w:color="auto"/>
        <w:bottom w:val="none" w:sz="0" w:space="0" w:color="auto"/>
        <w:right w:val="none" w:sz="0" w:space="0" w:color="auto"/>
      </w:divBdr>
    </w:div>
    <w:div w:id="1023239924">
      <w:bodyDiv w:val="1"/>
      <w:marLeft w:val="0"/>
      <w:marRight w:val="0"/>
      <w:marTop w:val="0"/>
      <w:marBottom w:val="0"/>
      <w:divBdr>
        <w:top w:val="none" w:sz="0" w:space="0" w:color="auto"/>
        <w:left w:val="none" w:sz="0" w:space="0" w:color="auto"/>
        <w:bottom w:val="none" w:sz="0" w:space="0" w:color="auto"/>
        <w:right w:val="none" w:sz="0" w:space="0" w:color="auto"/>
      </w:divBdr>
      <w:divsChild>
        <w:div w:id="835728135">
          <w:marLeft w:val="274"/>
          <w:marRight w:val="0"/>
          <w:marTop w:val="0"/>
          <w:marBottom w:val="80"/>
          <w:divBdr>
            <w:top w:val="none" w:sz="0" w:space="0" w:color="auto"/>
            <w:left w:val="none" w:sz="0" w:space="0" w:color="auto"/>
            <w:bottom w:val="none" w:sz="0" w:space="0" w:color="auto"/>
            <w:right w:val="none" w:sz="0" w:space="0" w:color="auto"/>
          </w:divBdr>
        </w:div>
      </w:divsChild>
    </w:div>
    <w:div w:id="1108810882">
      <w:bodyDiv w:val="1"/>
      <w:marLeft w:val="0"/>
      <w:marRight w:val="0"/>
      <w:marTop w:val="0"/>
      <w:marBottom w:val="0"/>
      <w:divBdr>
        <w:top w:val="none" w:sz="0" w:space="0" w:color="auto"/>
        <w:left w:val="none" w:sz="0" w:space="0" w:color="auto"/>
        <w:bottom w:val="none" w:sz="0" w:space="0" w:color="auto"/>
        <w:right w:val="none" w:sz="0" w:space="0" w:color="auto"/>
      </w:divBdr>
    </w:div>
    <w:div w:id="1144809578">
      <w:bodyDiv w:val="1"/>
      <w:marLeft w:val="0"/>
      <w:marRight w:val="0"/>
      <w:marTop w:val="0"/>
      <w:marBottom w:val="0"/>
      <w:divBdr>
        <w:top w:val="none" w:sz="0" w:space="0" w:color="auto"/>
        <w:left w:val="none" w:sz="0" w:space="0" w:color="auto"/>
        <w:bottom w:val="none" w:sz="0" w:space="0" w:color="auto"/>
        <w:right w:val="none" w:sz="0" w:space="0" w:color="auto"/>
      </w:divBdr>
    </w:div>
    <w:div w:id="1149833451">
      <w:bodyDiv w:val="1"/>
      <w:marLeft w:val="0"/>
      <w:marRight w:val="0"/>
      <w:marTop w:val="0"/>
      <w:marBottom w:val="0"/>
      <w:divBdr>
        <w:top w:val="none" w:sz="0" w:space="0" w:color="auto"/>
        <w:left w:val="none" w:sz="0" w:space="0" w:color="auto"/>
        <w:bottom w:val="none" w:sz="0" w:space="0" w:color="auto"/>
        <w:right w:val="none" w:sz="0" w:space="0" w:color="auto"/>
      </w:divBdr>
    </w:div>
    <w:div w:id="1194683669">
      <w:bodyDiv w:val="1"/>
      <w:marLeft w:val="0"/>
      <w:marRight w:val="0"/>
      <w:marTop w:val="0"/>
      <w:marBottom w:val="0"/>
      <w:divBdr>
        <w:top w:val="none" w:sz="0" w:space="0" w:color="auto"/>
        <w:left w:val="none" w:sz="0" w:space="0" w:color="auto"/>
        <w:bottom w:val="none" w:sz="0" w:space="0" w:color="auto"/>
        <w:right w:val="none" w:sz="0" w:space="0" w:color="auto"/>
      </w:divBdr>
    </w:div>
    <w:div w:id="1238125102">
      <w:bodyDiv w:val="1"/>
      <w:marLeft w:val="0"/>
      <w:marRight w:val="0"/>
      <w:marTop w:val="0"/>
      <w:marBottom w:val="0"/>
      <w:divBdr>
        <w:top w:val="none" w:sz="0" w:space="0" w:color="auto"/>
        <w:left w:val="none" w:sz="0" w:space="0" w:color="auto"/>
        <w:bottom w:val="none" w:sz="0" w:space="0" w:color="auto"/>
        <w:right w:val="none" w:sz="0" w:space="0" w:color="auto"/>
      </w:divBdr>
    </w:div>
    <w:div w:id="1267498521">
      <w:bodyDiv w:val="1"/>
      <w:marLeft w:val="0"/>
      <w:marRight w:val="0"/>
      <w:marTop w:val="0"/>
      <w:marBottom w:val="0"/>
      <w:divBdr>
        <w:top w:val="none" w:sz="0" w:space="0" w:color="auto"/>
        <w:left w:val="none" w:sz="0" w:space="0" w:color="auto"/>
        <w:bottom w:val="none" w:sz="0" w:space="0" w:color="auto"/>
        <w:right w:val="none" w:sz="0" w:space="0" w:color="auto"/>
      </w:divBdr>
    </w:div>
    <w:div w:id="1397704313">
      <w:bodyDiv w:val="1"/>
      <w:marLeft w:val="0"/>
      <w:marRight w:val="0"/>
      <w:marTop w:val="0"/>
      <w:marBottom w:val="0"/>
      <w:divBdr>
        <w:top w:val="none" w:sz="0" w:space="0" w:color="auto"/>
        <w:left w:val="none" w:sz="0" w:space="0" w:color="auto"/>
        <w:bottom w:val="none" w:sz="0" w:space="0" w:color="auto"/>
        <w:right w:val="none" w:sz="0" w:space="0" w:color="auto"/>
      </w:divBdr>
    </w:div>
    <w:div w:id="1398743569">
      <w:bodyDiv w:val="1"/>
      <w:marLeft w:val="0"/>
      <w:marRight w:val="0"/>
      <w:marTop w:val="0"/>
      <w:marBottom w:val="0"/>
      <w:divBdr>
        <w:top w:val="none" w:sz="0" w:space="0" w:color="auto"/>
        <w:left w:val="none" w:sz="0" w:space="0" w:color="auto"/>
        <w:bottom w:val="none" w:sz="0" w:space="0" w:color="auto"/>
        <w:right w:val="none" w:sz="0" w:space="0" w:color="auto"/>
      </w:divBdr>
      <w:divsChild>
        <w:div w:id="1508862884">
          <w:marLeft w:val="274"/>
          <w:marRight w:val="0"/>
          <w:marTop w:val="0"/>
          <w:marBottom w:val="80"/>
          <w:divBdr>
            <w:top w:val="none" w:sz="0" w:space="0" w:color="auto"/>
            <w:left w:val="none" w:sz="0" w:space="0" w:color="auto"/>
            <w:bottom w:val="none" w:sz="0" w:space="0" w:color="auto"/>
            <w:right w:val="none" w:sz="0" w:space="0" w:color="auto"/>
          </w:divBdr>
        </w:div>
        <w:div w:id="2049258141">
          <w:marLeft w:val="274"/>
          <w:marRight w:val="0"/>
          <w:marTop w:val="0"/>
          <w:marBottom w:val="80"/>
          <w:divBdr>
            <w:top w:val="none" w:sz="0" w:space="0" w:color="auto"/>
            <w:left w:val="none" w:sz="0" w:space="0" w:color="auto"/>
            <w:bottom w:val="none" w:sz="0" w:space="0" w:color="auto"/>
            <w:right w:val="none" w:sz="0" w:space="0" w:color="auto"/>
          </w:divBdr>
        </w:div>
        <w:div w:id="1309213148">
          <w:marLeft w:val="274"/>
          <w:marRight w:val="0"/>
          <w:marTop w:val="0"/>
          <w:marBottom w:val="80"/>
          <w:divBdr>
            <w:top w:val="none" w:sz="0" w:space="0" w:color="auto"/>
            <w:left w:val="none" w:sz="0" w:space="0" w:color="auto"/>
            <w:bottom w:val="none" w:sz="0" w:space="0" w:color="auto"/>
            <w:right w:val="none" w:sz="0" w:space="0" w:color="auto"/>
          </w:divBdr>
        </w:div>
        <w:div w:id="687565323">
          <w:marLeft w:val="274"/>
          <w:marRight w:val="0"/>
          <w:marTop w:val="0"/>
          <w:marBottom w:val="80"/>
          <w:divBdr>
            <w:top w:val="none" w:sz="0" w:space="0" w:color="auto"/>
            <w:left w:val="none" w:sz="0" w:space="0" w:color="auto"/>
            <w:bottom w:val="none" w:sz="0" w:space="0" w:color="auto"/>
            <w:right w:val="none" w:sz="0" w:space="0" w:color="auto"/>
          </w:divBdr>
        </w:div>
      </w:divsChild>
    </w:div>
    <w:div w:id="1469515657">
      <w:bodyDiv w:val="1"/>
      <w:marLeft w:val="0"/>
      <w:marRight w:val="0"/>
      <w:marTop w:val="0"/>
      <w:marBottom w:val="0"/>
      <w:divBdr>
        <w:top w:val="none" w:sz="0" w:space="0" w:color="auto"/>
        <w:left w:val="none" w:sz="0" w:space="0" w:color="auto"/>
        <w:bottom w:val="none" w:sz="0" w:space="0" w:color="auto"/>
        <w:right w:val="none" w:sz="0" w:space="0" w:color="auto"/>
      </w:divBdr>
    </w:div>
    <w:div w:id="1484854196">
      <w:bodyDiv w:val="1"/>
      <w:marLeft w:val="0"/>
      <w:marRight w:val="0"/>
      <w:marTop w:val="0"/>
      <w:marBottom w:val="0"/>
      <w:divBdr>
        <w:top w:val="none" w:sz="0" w:space="0" w:color="auto"/>
        <w:left w:val="none" w:sz="0" w:space="0" w:color="auto"/>
        <w:bottom w:val="none" w:sz="0" w:space="0" w:color="auto"/>
        <w:right w:val="none" w:sz="0" w:space="0" w:color="auto"/>
      </w:divBdr>
    </w:div>
    <w:div w:id="1497569572">
      <w:bodyDiv w:val="1"/>
      <w:marLeft w:val="0"/>
      <w:marRight w:val="0"/>
      <w:marTop w:val="0"/>
      <w:marBottom w:val="0"/>
      <w:divBdr>
        <w:top w:val="none" w:sz="0" w:space="0" w:color="auto"/>
        <w:left w:val="none" w:sz="0" w:space="0" w:color="auto"/>
        <w:bottom w:val="none" w:sz="0" w:space="0" w:color="auto"/>
        <w:right w:val="none" w:sz="0" w:space="0" w:color="auto"/>
      </w:divBdr>
      <w:divsChild>
        <w:div w:id="1104114998">
          <w:marLeft w:val="274"/>
          <w:marRight w:val="0"/>
          <w:marTop w:val="0"/>
          <w:marBottom w:val="80"/>
          <w:divBdr>
            <w:top w:val="none" w:sz="0" w:space="0" w:color="auto"/>
            <w:left w:val="none" w:sz="0" w:space="0" w:color="auto"/>
            <w:bottom w:val="none" w:sz="0" w:space="0" w:color="auto"/>
            <w:right w:val="none" w:sz="0" w:space="0" w:color="auto"/>
          </w:divBdr>
        </w:div>
        <w:div w:id="369843027">
          <w:marLeft w:val="274"/>
          <w:marRight w:val="0"/>
          <w:marTop w:val="0"/>
          <w:marBottom w:val="80"/>
          <w:divBdr>
            <w:top w:val="none" w:sz="0" w:space="0" w:color="auto"/>
            <w:left w:val="none" w:sz="0" w:space="0" w:color="auto"/>
            <w:bottom w:val="none" w:sz="0" w:space="0" w:color="auto"/>
            <w:right w:val="none" w:sz="0" w:space="0" w:color="auto"/>
          </w:divBdr>
        </w:div>
        <w:div w:id="216934021">
          <w:marLeft w:val="720"/>
          <w:marRight w:val="0"/>
          <w:marTop w:val="0"/>
          <w:marBottom w:val="80"/>
          <w:divBdr>
            <w:top w:val="none" w:sz="0" w:space="0" w:color="auto"/>
            <w:left w:val="none" w:sz="0" w:space="0" w:color="auto"/>
            <w:bottom w:val="none" w:sz="0" w:space="0" w:color="auto"/>
            <w:right w:val="none" w:sz="0" w:space="0" w:color="auto"/>
          </w:divBdr>
        </w:div>
      </w:divsChild>
    </w:div>
    <w:div w:id="1511603021">
      <w:bodyDiv w:val="1"/>
      <w:marLeft w:val="0"/>
      <w:marRight w:val="0"/>
      <w:marTop w:val="0"/>
      <w:marBottom w:val="0"/>
      <w:divBdr>
        <w:top w:val="none" w:sz="0" w:space="0" w:color="auto"/>
        <w:left w:val="none" w:sz="0" w:space="0" w:color="auto"/>
        <w:bottom w:val="none" w:sz="0" w:space="0" w:color="auto"/>
        <w:right w:val="none" w:sz="0" w:space="0" w:color="auto"/>
      </w:divBdr>
    </w:div>
    <w:div w:id="1573270081">
      <w:bodyDiv w:val="1"/>
      <w:marLeft w:val="0"/>
      <w:marRight w:val="0"/>
      <w:marTop w:val="0"/>
      <w:marBottom w:val="0"/>
      <w:divBdr>
        <w:top w:val="none" w:sz="0" w:space="0" w:color="auto"/>
        <w:left w:val="none" w:sz="0" w:space="0" w:color="auto"/>
        <w:bottom w:val="none" w:sz="0" w:space="0" w:color="auto"/>
        <w:right w:val="none" w:sz="0" w:space="0" w:color="auto"/>
      </w:divBdr>
      <w:divsChild>
        <w:div w:id="108670790">
          <w:marLeft w:val="274"/>
          <w:marRight w:val="0"/>
          <w:marTop w:val="0"/>
          <w:marBottom w:val="80"/>
          <w:divBdr>
            <w:top w:val="none" w:sz="0" w:space="0" w:color="auto"/>
            <w:left w:val="none" w:sz="0" w:space="0" w:color="auto"/>
            <w:bottom w:val="none" w:sz="0" w:space="0" w:color="auto"/>
            <w:right w:val="none" w:sz="0" w:space="0" w:color="auto"/>
          </w:divBdr>
        </w:div>
        <w:div w:id="697390344">
          <w:marLeft w:val="274"/>
          <w:marRight w:val="0"/>
          <w:marTop w:val="0"/>
          <w:marBottom w:val="80"/>
          <w:divBdr>
            <w:top w:val="none" w:sz="0" w:space="0" w:color="auto"/>
            <w:left w:val="none" w:sz="0" w:space="0" w:color="auto"/>
            <w:bottom w:val="none" w:sz="0" w:space="0" w:color="auto"/>
            <w:right w:val="none" w:sz="0" w:space="0" w:color="auto"/>
          </w:divBdr>
        </w:div>
        <w:div w:id="1122456958">
          <w:marLeft w:val="274"/>
          <w:marRight w:val="0"/>
          <w:marTop w:val="0"/>
          <w:marBottom w:val="80"/>
          <w:divBdr>
            <w:top w:val="none" w:sz="0" w:space="0" w:color="auto"/>
            <w:left w:val="none" w:sz="0" w:space="0" w:color="auto"/>
            <w:bottom w:val="none" w:sz="0" w:space="0" w:color="auto"/>
            <w:right w:val="none" w:sz="0" w:space="0" w:color="auto"/>
          </w:divBdr>
        </w:div>
      </w:divsChild>
    </w:div>
    <w:div w:id="1584147134">
      <w:bodyDiv w:val="1"/>
      <w:marLeft w:val="0"/>
      <w:marRight w:val="0"/>
      <w:marTop w:val="0"/>
      <w:marBottom w:val="0"/>
      <w:divBdr>
        <w:top w:val="none" w:sz="0" w:space="0" w:color="auto"/>
        <w:left w:val="none" w:sz="0" w:space="0" w:color="auto"/>
        <w:bottom w:val="none" w:sz="0" w:space="0" w:color="auto"/>
        <w:right w:val="none" w:sz="0" w:space="0" w:color="auto"/>
      </w:divBdr>
    </w:div>
    <w:div w:id="1599870632">
      <w:bodyDiv w:val="1"/>
      <w:marLeft w:val="0"/>
      <w:marRight w:val="0"/>
      <w:marTop w:val="0"/>
      <w:marBottom w:val="0"/>
      <w:divBdr>
        <w:top w:val="none" w:sz="0" w:space="0" w:color="auto"/>
        <w:left w:val="none" w:sz="0" w:space="0" w:color="auto"/>
        <w:bottom w:val="none" w:sz="0" w:space="0" w:color="auto"/>
        <w:right w:val="none" w:sz="0" w:space="0" w:color="auto"/>
      </w:divBdr>
    </w:div>
    <w:div w:id="1623488688">
      <w:bodyDiv w:val="1"/>
      <w:marLeft w:val="0"/>
      <w:marRight w:val="0"/>
      <w:marTop w:val="0"/>
      <w:marBottom w:val="0"/>
      <w:divBdr>
        <w:top w:val="none" w:sz="0" w:space="0" w:color="auto"/>
        <w:left w:val="none" w:sz="0" w:space="0" w:color="auto"/>
        <w:bottom w:val="none" w:sz="0" w:space="0" w:color="auto"/>
        <w:right w:val="none" w:sz="0" w:space="0" w:color="auto"/>
      </w:divBdr>
      <w:divsChild>
        <w:div w:id="1336686703">
          <w:marLeft w:val="720"/>
          <w:marRight w:val="0"/>
          <w:marTop w:val="0"/>
          <w:marBottom w:val="80"/>
          <w:divBdr>
            <w:top w:val="none" w:sz="0" w:space="0" w:color="auto"/>
            <w:left w:val="none" w:sz="0" w:space="0" w:color="auto"/>
            <w:bottom w:val="none" w:sz="0" w:space="0" w:color="auto"/>
            <w:right w:val="none" w:sz="0" w:space="0" w:color="auto"/>
          </w:divBdr>
        </w:div>
        <w:div w:id="1483158194">
          <w:marLeft w:val="720"/>
          <w:marRight w:val="0"/>
          <w:marTop w:val="0"/>
          <w:marBottom w:val="80"/>
          <w:divBdr>
            <w:top w:val="none" w:sz="0" w:space="0" w:color="auto"/>
            <w:left w:val="none" w:sz="0" w:space="0" w:color="auto"/>
            <w:bottom w:val="none" w:sz="0" w:space="0" w:color="auto"/>
            <w:right w:val="none" w:sz="0" w:space="0" w:color="auto"/>
          </w:divBdr>
        </w:div>
      </w:divsChild>
    </w:div>
    <w:div w:id="1777368025">
      <w:bodyDiv w:val="1"/>
      <w:marLeft w:val="0"/>
      <w:marRight w:val="0"/>
      <w:marTop w:val="0"/>
      <w:marBottom w:val="0"/>
      <w:divBdr>
        <w:top w:val="none" w:sz="0" w:space="0" w:color="auto"/>
        <w:left w:val="none" w:sz="0" w:space="0" w:color="auto"/>
        <w:bottom w:val="none" w:sz="0" w:space="0" w:color="auto"/>
        <w:right w:val="none" w:sz="0" w:space="0" w:color="auto"/>
      </w:divBdr>
      <w:divsChild>
        <w:div w:id="1248460806">
          <w:marLeft w:val="274"/>
          <w:marRight w:val="0"/>
          <w:marTop w:val="0"/>
          <w:marBottom w:val="80"/>
          <w:divBdr>
            <w:top w:val="none" w:sz="0" w:space="0" w:color="auto"/>
            <w:left w:val="none" w:sz="0" w:space="0" w:color="auto"/>
            <w:bottom w:val="none" w:sz="0" w:space="0" w:color="auto"/>
            <w:right w:val="none" w:sz="0" w:space="0" w:color="auto"/>
          </w:divBdr>
        </w:div>
      </w:divsChild>
    </w:div>
    <w:div w:id="1799909807">
      <w:bodyDiv w:val="1"/>
      <w:marLeft w:val="0"/>
      <w:marRight w:val="0"/>
      <w:marTop w:val="0"/>
      <w:marBottom w:val="0"/>
      <w:divBdr>
        <w:top w:val="none" w:sz="0" w:space="0" w:color="auto"/>
        <w:left w:val="none" w:sz="0" w:space="0" w:color="auto"/>
        <w:bottom w:val="none" w:sz="0" w:space="0" w:color="auto"/>
        <w:right w:val="none" w:sz="0" w:space="0" w:color="auto"/>
      </w:divBdr>
    </w:div>
    <w:div w:id="1803621160">
      <w:bodyDiv w:val="1"/>
      <w:marLeft w:val="0"/>
      <w:marRight w:val="0"/>
      <w:marTop w:val="0"/>
      <w:marBottom w:val="0"/>
      <w:divBdr>
        <w:top w:val="none" w:sz="0" w:space="0" w:color="auto"/>
        <w:left w:val="none" w:sz="0" w:space="0" w:color="auto"/>
        <w:bottom w:val="none" w:sz="0" w:space="0" w:color="auto"/>
        <w:right w:val="none" w:sz="0" w:space="0" w:color="auto"/>
      </w:divBdr>
    </w:div>
    <w:div w:id="1842968476">
      <w:bodyDiv w:val="1"/>
      <w:marLeft w:val="0"/>
      <w:marRight w:val="0"/>
      <w:marTop w:val="0"/>
      <w:marBottom w:val="0"/>
      <w:divBdr>
        <w:top w:val="none" w:sz="0" w:space="0" w:color="auto"/>
        <w:left w:val="none" w:sz="0" w:space="0" w:color="auto"/>
        <w:bottom w:val="none" w:sz="0" w:space="0" w:color="auto"/>
        <w:right w:val="none" w:sz="0" w:space="0" w:color="auto"/>
      </w:divBdr>
    </w:div>
    <w:div w:id="1916166503">
      <w:bodyDiv w:val="1"/>
      <w:marLeft w:val="0"/>
      <w:marRight w:val="0"/>
      <w:marTop w:val="0"/>
      <w:marBottom w:val="0"/>
      <w:divBdr>
        <w:top w:val="none" w:sz="0" w:space="0" w:color="auto"/>
        <w:left w:val="none" w:sz="0" w:space="0" w:color="auto"/>
        <w:bottom w:val="none" w:sz="0" w:space="0" w:color="auto"/>
        <w:right w:val="none" w:sz="0" w:space="0" w:color="auto"/>
      </w:divBdr>
    </w:div>
    <w:div w:id="1918904678">
      <w:bodyDiv w:val="1"/>
      <w:marLeft w:val="0"/>
      <w:marRight w:val="0"/>
      <w:marTop w:val="0"/>
      <w:marBottom w:val="0"/>
      <w:divBdr>
        <w:top w:val="none" w:sz="0" w:space="0" w:color="auto"/>
        <w:left w:val="none" w:sz="0" w:space="0" w:color="auto"/>
        <w:bottom w:val="none" w:sz="0" w:space="0" w:color="auto"/>
        <w:right w:val="none" w:sz="0" w:space="0" w:color="auto"/>
      </w:divBdr>
    </w:div>
    <w:div w:id="2006861242">
      <w:bodyDiv w:val="1"/>
      <w:marLeft w:val="0"/>
      <w:marRight w:val="0"/>
      <w:marTop w:val="0"/>
      <w:marBottom w:val="0"/>
      <w:divBdr>
        <w:top w:val="none" w:sz="0" w:space="0" w:color="auto"/>
        <w:left w:val="none" w:sz="0" w:space="0" w:color="auto"/>
        <w:bottom w:val="none" w:sz="0" w:space="0" w:color="auto"/>
        <w:right w:val="none" w:sz="0" w:space="0" w:color="auto"/>
      </w:divBdr>
      <w:divsChild>
        <w:div w:id="741173838">
          <w:marLeft w:val="274"/>
          <w:marRight w:val="0"/>
          <w:marTop w:val="0"/>
          <w:marBottom w:val="80"/>
          <w:divBdr>
            <w:top w:val="none" w:sz="0" w:space="0" w:color="auto"/>
            <w:left w:val="none" w:sz="0" w:space="0" w:color="auto"/>
            <w:bottom w:val="none" w:sz="0" w:space="0" w:color="auto"/>
            <w:right w:val="none" w:sz="0" w:space="0" w:color="auto"/>
          </w:divBdr>
        </w:div>
        <w:div w:id="1672293028">
          <w:marLeft w:val="274"/>
          <w:marRight w:val="0"/>
          <w:marTop w:val="0"/>
          <w:marBottom w:val="80"/>
          <w:divBdr>
            <w:top w:val="none" w:sz="0" w:space="0" w:color="auto"/>
            <w:left w:val="none" w:sz="0" w:space="0" w:color="auto"/>
            <w:bottom w:val="none" w:sz="0" w:space="0" w:color="auto"/>
            <w:right w:val="none" w:sz="0" w:space="0" w:color="auto"/>
          </w:divBdr>
        </w:div>
      </w:divsChild>
    </w:div>
    <w:div w:id="2032026971">
      <w:bodyDiv w:val="1"/>
      <w:marLeft w:val="0"/>
      <w:marRight w:val="0"/>
      <w:marTop w:val="0"/>
      <w:marBottom w:val="0"/>
      <w:divBdr>
        <w:top w:val="none" w:sz="0" w:space="0" w:color="auto"/>
        <w:left w:val="none" w:sz="0" w:space="0" w:color="auto"/>
        <w:bottom w:val="none" w:sz="0" w:space="0" w:color="auto"/>
        <w:right w:val="none" w:sz="0" w:space="0" w:color="auto"/>
      </w:divBdr>
    </w:div>
    <w:div w:id="2102143964">
      <w:bodyDiv w:val="1"/>
      <w:marLeft w:val="0"/>
      <w:marRight w:val="0"/>
      <w:marTop w:val="0"/>
      <w:marBottom w:val="0"/>
      <w:divBdr>
        <w:top w:val="none" w:sz="0" w:space="0" w:color="auto"/>
        <w:left w:val="none" w:sz="0" w:space="0" w:color="auto"/>
        <w:bottom w:val="none" w:sz="0" w:space="0" w:color="auto"/>
        <w:right w:val="none" w:sz="0" w:space="0" w:color="auto"/>
      </w:divBdr>
      <w:divsChild>
        <w:div w:id="159127050">
          <w:marLeft w:val="720"/>
          <w:marRight w:val="0"/>
          <w:marTop w:val="0"/>
          <w:marBottom w:val="80"/>
          <w:divBdr>
            <w:top w:val="none" w:sz="0" w:space="0" w:color="auto"/>
            <w:left w:val="none" w:sz="0" w:space="0" w:color="auto"/>
            <w:bottom w:val="none" w:sz="0" w:space="0" w:color="auto"/>
            <w:right w:val="none" w:sz="0" w:space="0" w:color="auto"/>
          </w:divBdr>
        </w:div>
        <w:div w:id="377823084">
          <w:marLeft w:val="720"/>
          <w:marRight w:val="0"/>
          <w:marTop w:val="0"/>
          <w:marBottom w:val="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Winter@agl.com.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b.org.a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aemc.gov.au/rule-changes/technical-standards-distributed-energy-resources" TargetMode="External"/><Relationship Id="rId2" Type="http://schemas.openxmlformats.org/officeDocument/2006/relationships/hyperlink" Target="https://thehub.agl.com.au/articles/2020/01/submission-to-aer-on-assessing-distributed-energy-integration-expenditure" TargetMode="External"/><Relationship Id="rId1" Type="http://schemas.openxmlformats.org/officeDocument/2006/relationships/hyperlink" Target="https://www.agl.com.au/electric-vehic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30938\Downloads\AGL0025_Letterhead_word_template_A4_F_R2%20(3).dotx" TargetMode="External"/></Relationships>
</file>

<file path=word/theme/theme1.xml><?xml version="1.0" encoding="utf-8"?>
<a:theme xmlns:a="http://schemas.openxmlformats.org/drawingml/2006/main" name="Office Theme">
  <a:themeElements>
    <a:clrScheme name="AGL">
      <a:dk1>
        <a:sysClr val="windowText" lastClr="000000"/>
      </a:dk1>
      <a:lt1>
        <a:sysClr val="window" lastClr="FFFFFF"/>
      </a:lt1>
      <a:dk2>
        <a:srgbClr val="001CB0"/>
      </a:dk2>
      <a:lt2>
        <a:srgbClr val="FFFFFF"/>
      </a:lt2>
      <a:accent1>
        <a:srgbClr val="000000"/>
      </a:accent1>
      <a:accent2>
        <a:srgbClr val="001CB0"/>
      </a:accent2>
      <a:accent3>
        <a:srgbClr val="FFFFFF"/>
      </a:accent3>
      <a:accent4>
        <a:srgbClr val="000000"/>
      </a:accent4>
      <a:accent5>
        <a:srgbClr val="001CB0"/>
      </a:accent5>
      <a:accent6>
        <a:srgbClr val="FFFFF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C247E-41C1-4564-849C-EB44DD3A7ECC}"/>
</file>

<file path=customXml/itemProps2.xml><?xml version="1.0" encoding="utf-8"?>
<ds:datastoreItem xmlns:ds="http://schemas.openxmlformats.org/officeDocument/2006/customXml" ds:itemID="{42947551-0815-4CC0-8E28-0226044971A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0A2B058-7797-4827-9FFE-38FFBB8B656F}">
  <ds:schemaRefs>
    <ds:schemaRef ds:uri="http://schemas.microsoft.com/sharepoint/v3/contenttype/forms"/>
  </ds:schemaRefs>
</ds:datastoreItem>
</file>

<file path=customXml/itemProps4.xml><?xml version="1.0" encoding="utf-8"?>
<ds:datastoreItem xmlns:ds="http://schemas.openxmlformats.org/officeDocument/2006/customXml" ds:itemID="{8383C72D-7D48-48BC-8345-6D1D3CE7E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AGL0025_Letterhead_word_template_A4_F_R2 (3).dotx</Template>
  <TotalTime>204</TotalTime>
  <Pages>7</Pages>
  <Words>2756</Words>
  <Characters>15714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Handberg</dc:creator>
  <cp:keywords/>
  <dc:description/>
  <cp:lastModifiedBy>Kurt Winter</cp:lastModifiedBy>
  <cp:revision>5</cp:revision>
  <cp:lastPrinted>2020-07-28T22:59:00Z</cp:lastPrinted>
  <dcterms:created xsi:type="dcterms:W3CDTF">2020-07-28T08:08:00Z</dcterms:created>
  <dcterms:modified xsi:type="dcterms:W3CDTF">2020-07-29T02:09:00Z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