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sz w:val="21"/>
          <w:szCs w:val="21"/>
        </w:rPr>
        <w:id w:val="1951973076"/>
        <w:docPartObj>
          <w:docPartGallery w:val="Cover Pages"/>
          <w:docPartUnique/>
        </w:docPartObj>
      </w:sdtPr>
      <w:sdtEndPr>
        <w:rPr>
          <w:sz w:val="22"/>
          <w:szCs w:val="22"/>
        </w:rPr>
      </w:sdtEndPr>
      <w:sdtContent>
        <w:p w14:paraId="088D269B" w14:textId="1DFAF3A0" w:rsidR="00754720" w:rsidRDefault="00754720">
          <w:pPr>
            <w:rPr>
              <w:sz w:val="21"/>
              <w:szCs w:val="21"/>
            </w:rPr>
          </w:pPr>
          <w:r w:rsidRPr="00DF3091">
            <w:rPr>
              <w:noProof/>
              <w:sz w:val="21"/>
              <w:szCs w:val="21"/>
            </w:rPr>
            <w:drawing>
              <wp:anchor distT="0" distB="0" distL="114300" distR="114300" simplePos="0" relativeHeight="251661312" behindDoc="1" locked="0" layoutInCell="1" allowOverlap="1" wp14:anchorId="4567D350" wp14:editId="50CC5E1A">
                <wp:simplePos x="0" y="0"/>
                <wp:positionH relativeFrom="column">
                  <wp:posOffset>-922020</wp:posOffset>
                </wp:positionH>
                <wp:positionV relativeFrom="paragraph">
                  <wp:posOffset>-944880</wp:posOffset>
                </wp:positionV>
                <wp:extent cx="7561580" cy="10767060"/>
                <wp:effectExtent l="0" t="0" r="127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IA Letterhead NEW 2016-01.jpg"/>
                        <pic:cNvPicPr/>
                      </pic:nvPicPr>
                      <pic:blipFill>
                        <a:blip r:embed="rId8">
                          <a:extLst>
                            <a:ext uri="{28A0092B-C50C-407E-A947-70E740481C1C}">
                              <a14:useLocalDpi xmlns:a14="http://schemas.microsoft.com/office/drawing/2010/main" val="0"/>
                            </a:ext>
                          </a:extLst>
                        </a:blip>
                        <a:stretch>
                          <a:fillRect/>
                        </a:stretch>
                      </pic:blipFill>
                      <pic:spPr>
                        <a:xfrm>
                          <a:off x="0" y="0"/>
                          <a:ext cx="7562088" cy="10767784"/>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FB852F4" w14:textId="77777777" w:rsidR="00754720" w:rsidRDefault="00F62FBE" w:rsidP="00754720"/>
      </w:sdtContent>
    </w:sdt>
    <w:p w14:paraId="633831F9" w14:textId="77777777" w:rsidR="00754720" w:rsidRDefault="00754720" w:rsidP="00754720"/>
    <w:p w14:paraId="699AC7E0" w14:textId="5D536435" w:rsidR="00042D71" w:rsidRDefault="00042D71" w:rsidP="00754720">
      <w:r>
        <w:t>28 July 2020</w:t>
      </w:r>
    </w:p>
    <w:p w14:paraId="66CA0978" w14:textId="617B0BA2" w:rsidR="00042D71" w:rsidRDefault="00042D71" w:rsidP="00042D71">
      <w:pPr>
        <w:spacing w:after="0" w:line="240" w:lineRule="auto"/>
      </w:pPr>
    </w:p>
    <w:p w14:paraId="27B3964F" w14:textId="775789B5" w:rsidR="00042D71" w:rsidRDefault="00042D71" w:rsidP="00042D71">
      <w:pPr>
        <w:spacing w:after="0" w:line="240" w:lineRule="auto"/>
      </w:pPr>
      <w:r>
        <w:t xml:space="preserve">Ms </w:t>
      </w:r>
      <w:r w:rsidRPr="00042D71">
        <w:t>Jenny Gannon</w:t>
      </w:r>
    </w:p>
    <w:p w14:paraId="487A387E" w14:textId="6FB5ACD0" w:rsidR="00042D71" w:rsidRDefault="00042D71" w:rsidP="00042D71">
      <w:pPr>
        <w:spacing w:after="0" w:line="240" w:lineRule="auto"/>
      </w:pPr>
      <w:r w:rsidRPr="00042D71">
        <w:t>Project Manager Governance of DER Technical Standard</w:t>
      </w:r>
    </w:p>
    <w:p w14:paraId="0CDD1CEC" w14:textId="35E68005" w:rsidR="00042D71" w:rsidRDefault="00042D71" w:rsidP="00042D71">
      <w:pPr>
        <w:spacing w:after="0" w:line="240" w:lineRule="auto"/>
      </w:pPr>
      <w:r>
        <w:t>Energy Security Board</w:t>
      </w:r>
    </w:p>
    <w:p w14:paraId="19AB5351" w14:textId="77777777" w:rsidR="00042D71" w:rsidRDefault="00042D71" w:rsidP="00042D71">
      <w:pPr>
        <w:spacing w:after="0" w:line="240" w:lineRule="auto"/>
      </w:pPr>
      <w:r>
        <w:t xml:space="preserve">Level 15, 60 Castlereagh St </w:t>
      </w:r>
    </w:p>
    <w:p w14:paraId="77007487" w14:textId="5CA80C23" w:rsidR="00042D71" w:rsidRDefault="00042D71" w:rsidP="00042D71">
      <w:pPr>
        <w:spacing w:after="0" w:line="240" w:lineRule="auto"/>
      </w:pPr>
      <w:r>
        <w:t>Sydney NSW 2000</w:t>
      </w:r>
    </w:p>
    <w:p w14:paraId="1A5289CE" w14:textId="77777777" w:rsidR="00042D71" w:rsidRDefault="00042D71" w:rsidP="00042D71">
      <w:pPr>
        <w:spacing w:after="0" w:line="240" w:lineRule="auto"/>
      </w:pPr>
    </w:p>
    <w:p w14:paraId="336BA258" w14:textId="0029A094" w:rsidR="00042D71" w:rsidRDefault="00042D71" w:rsidP="00042D71">
      <w:pPr>
        <w:spacing w:after="0" w:line="240" w:lineRule="auto"/>
      </w:pPr>
    </w:p>
    <w:p w14:paraId="580210FA" w14:textId="6C40DFB2" w:rsidR="00042D71" w:rsidRPr="00042D71" w:rsidRDefault="00042D71" w:rsidP="00042D71">
      <w:pPr>
        <w:spacing w:after="0" w:line="240" w:lineRule="auto"/>
        <w:rPr>
          <w:b/>
          <w:bCs/>
          <w:i/>
          <w:iCs/>
        </w:rPr>
      </w:pPr>
      <w:r w:rsidRPr="00042D71">
        <w:rPr>
          <w:b/>
          <w:bCs/>
          <w:i/>
          <w:iCs/>
        </w:rPr>
        <w:t>By email:</w:t>
      </w:r>
      <w:r w:rsidRPr="00042D71">
        <w:rPr>
          <w:rFonts w:cs="Calibri"/>
          <w:b/>
          <w:bCs/>
          <w:i/>
          <w:iCs/>
          <w:color w:val="000000"/>
        </w:rPr>
        <w:t xml:space="preserve"> </w:t>
      </w:r>
      <w:hyperlink r:id="rId9" w:history="1">
        <w:r w:rsidRPr="00476188">
          <w:rPr>
            <w:rStyle w:val="Hyperlink"/>
            <w:rFonts w:cs="Calibri"/>
            <w:b/>
            <w:bCs/>
            <w:i/>
            <w:iCs/>
          </w:rPr>
          <w:t>info@esb.org.au</w:t>
        </w:r>
      </w:hyperlink>
      <w:r>
        <w:rPr>
          <w:rFonts w:cs="Calibri"/>
          <w:b/>
          <w:bCs/>
          <w:i/>
          <w:iCs/>
          <w:color w:val="0000FF"/>
        </w:rPr>
        <w:t xml:space="preserve"> </w:t>
      </w:r>
      <w:r w:rsidRPr="00042D71">
        <w:rPr>
          <w:rFonts w:cs="Calibri"/>
          <w:b/>
          <w:bCs/>
          <w:i/>
          <w:iCs/>
          <w:color w:val="000000"/>
        </w:rPr>
        <w:t xml:space="preserve">  </w:t>
      </w:r>
    </w:p>
    <w:p w14:paraId="052D2CB6" w14:textId="3118F66B" w:rsidR="00042D71" w:rsidRDefault="00042D71" w:rsidP="00042D71">
      <w:pPr>
        <w:spacing w:after="0" w:line="240" w:lineRule="auto"/>
      </w:pPr>
    </w:p>
    <w:p w14:paraId="25B23878" w14:textId="635BEF18" w:rsidR="00042D71" w:rsidRDefault="00042D71" w:rsidP="00042D71">
      <w:pPr>
        <w:spacing w:after="0" w:line="240" w:lineRule="auto"/>
      </w:pPr>
      <w:r>
        <w:t>Dear Jenny</w:t>
      </w:r>
    </w:p>
    <w:p w14:paraId="163705A9" w14:textId="77777777" w:rsidR="00042D71" w:rsidRDefault="00042D71" w:rsidP="00042D71">
      <w:pPr>
        <w:spacing w:after="0" w:line="240" w:lineRule="auto"/>
      </w:pPr>
    </w:p>
    <w:p w14:paraId="285BF7DD" w14:textId="4D0B38CC" w:rsidR="00042D71" w:rsidRPr="00042D71" w:rsidRDefault="00042D71" w:rsidP="00E64B2D">
      <w:pPr>
        <w:autoSpaceDE w:val="0"/>
        <w:autoSpaceDN w:val="0"/>
        <w:adjustRightInd w:val="0"/>
        <w:spacing w:after="0" w:line="240" w:lineRule="auto"/>
        <w:jc w:val="both"/>
        <w:rPr>
          <w:b/>
          <w:bCs/>
          <w:caps/>
          <w:sz w:val="24"/>
          <w:szCs w:val="24"/>
        </w:rPr>
      </w:pPr>
      <w:r w:rsidRPr="00042D71">
        <w:rPr>
          <w:rFonts w:cs="Calibri"/>
          <w:b/>
          <w:bCs/>
          <w:caps/>
          <w:color w:val="000000"/>
        </w:rPr>
        <w:t>CCIA NSW Response to ESB Governance of DER Technical Standards Consultation Paper</w:t>
      </w:r>
      <w:r w:rsidR="008C0578">
        <w:rPr>
          <w:rFonts w:cs="Calibri"/>
          <w:b/>
          <w:bCs/>
          <w:caps/>
          <w:color w:val="000000"/>
        </w:rPr>
        <w:t>, July 2020</w:t>
      </w:r>
    </w:p>
    <w:p w14:paraId="7C1839CC" w14:textId="633C2147" w:rsidR="00042D71" w:rsidRDefault="00042D71" w:rsidP="00E64B2D">
      <w:pPr>
        <w:spacing w:after="0" w:line="240" w:lineRule="auto"/>
        <w:jc w:val="both"/>
      </w:pPr>
    </w:p>
    <w:p w14:paraId="027C9177" w14:textId="77777777" w:rsidR="008749DC" w:rsidRPr="00233770" w:rsidRDefault="008749DC" w:rsidP="00E64B2D">
      <w:pPr>
        <w:spacing w:after="0" w:line="240" w:lineRule="auto"/>
        <w:contextualSpacing/>
        <w:jc w:val="both"/>
      </w:pPr>
      <w:r w:rsidRPr="00233770">
        <w:t>The Caravan, Camping &amp; Touring Industry &amp; Manufactured Housing Industry Association of NSW Ltd (CCIA NSW) is the State’s peak industry body representing the interests of holiday parks, residential land lease communities (residential parks, including caravan parks and manufactured home estates), manufacturers</w:t>
      </w:r>
      <w:r>
        <w:t xml:space="preserve">, </w:t>
      </w:r>
      <w:r w:rsidRPr="00233770">
        <w:t>retailers</w:t>
      </w:r>
      <w:r>
        <w:t xml:space="preserve"> and repairers</w:t>
      </w:r>
      <w:r w:rsidRPr="00233770">
        <w:t xml:space="preserve"> of recreational vehicles (RVs, including caravans, campervans, motorhomes, camper trailers, tent trailers, fifth wheelers and slide-</w:t>
      </w:r>
      <w:proofErr w:type="spellStart"/>
      <w:r w:rsidRPr="00233770">
        <w:t>ons</w:t>
      </w:r>
      <w:proofErr w:type="spellEnd"/>
      <w:r w:rsidRPr="00233770">
        <w:t>)</w:t>
      </w:r>
      <w:r>
        <w:t xml:space="preserve">, </w:t>
      </w:r>
      <w:r w:rsidRPr="00233770">
        <w:t xml:space="preserve">camping equipment </w:t>
      </w:r>
      <w:r>
        <w:t xml:space="preserve">suppliers, </w:t>
      </w:r>
      <w:r w:rsidRPr="00233770">
        <w:t>manufacturers of relocatable homes</w:t>
      </w:r>
      <w:r>
        <w:t xml:space="preserve"> and service providers to these businesses</w:t>
      </w:r>
      <w:r w:rsidRPr="00233770">
        <w:t xml:space="preserve">. </w:t>
      </w:r>
    </w:p>
    <w:p w14:paraId="7FE54177" w14:textId="77777777" w:rsidR="008749DC" w:rsidRPr="00233770" w:rsidRDefault="008749DC" w:rsidP="00E64B2D">
      <w:pPr>
        <w:spacing w:after="0" w:line="240" w:lineRule="auto"/>
        <w:contextualSpacing/>
        <w:jc w:val="both"/>
      </w:pPr>
    </w:p>
    <w:p w14:paraId="190D7E20" w14:textId="77777777" w:rsidR="008749DC" w:rsidRDefault="008749DC" w:rsidP="00E64B2D">
      <w:pPr>
        <w:spacing w:after="0" w:line="240" w:lineRule="auto"/>
        <w:contextualSpacing/>
        <w:jc w:val="both"/>
      </w:pPr>
      <w:r w:rsidRPr="00233770">
        <w:t>We currently have as members over 7</w:t>
      </w:r>
      <w:r>
        <w:t>2</w:t>
      </w:r>
      <w:r w:rsidRPr="00233770">
        <w:t>0 businesses representing all aspects of the caravan and camping</w:t>
      </w:r>
      <w:r>
        <w:t xml:space="preserve"> and land lease living</w:t>
      </w:r>
      <w:r w:rsidRPr="00233770">
        <w:t xml:space="preserve"> industry. </w:t>
      </w:r>
      <w:r>
        <w:rPr>
          <w:bCs/>
          <w:lang w:eastAsia="en-AU"/>
        </w:rPr>
        <w:t>Over 470</w:t>
      </w:r>
      <w:r w:rsidRPr="00233770">
        <w:rPr>
          <w:bCs/>
          <w:lang w:eastAsia="en-AU"/>
        </w:rPr>
        <w:t xml:space="preserve"> of these members are holiday park</w:t>
      </w:r>
      <w:r>
        <w:rPr>
          <w:bCs/>
          <w:lang w:eastAsia="en-AU"/>
        </w:rPr>
        <w:t>s</w:t>
      </w:r>
      <w:r w:rsidRPr="00233770">
        <w:rPr>
          <w:bCs/>
          <w:lang w:eastAsia="en-AU"/>
        </w:rPr>
        <w:t xml:space="preserve"> and residential land lease communit</w:t>
      </w:r>
      <w:r>
        <w:rPr>
          <w:bCs/>
          <w:lang w:eastAsia="en-AU"/>
        </w:rPr>
        <w:t>ies</w:t>
      </w:r>
      <w:r w:rsidRPr="00233770">
        <w:rPr>
          <w:bCs/>
          <w:lang w:eastAsia="en-AU"/>
        </w:rPr>
        <w:t xml:space="preserve"> </w:t>
      </w:r>
      <w:r>
        <w:rPr>
          <w:bCs/>
          <w:lang w:eastAsia="en-AU"/>
        </w:rPr>
        <w:t xml:space="preserve">throughout </w:t>
      </w:r>
      <w:r w:rsidRPr="00233770">
        <w:rPr>
          <w:bCs/>
          <w:lang w:eastAsia="en-AU"/>
        </w:rPr>
        <w:t>New South Wales (NSW).</w:t>
      </w:r>
    </w:p>
    <w:p w14:paraId="35AC60D3" w14:textId="77777777" w:rsidR="008749DC" w:rsidRDefault="008749DC" w:rsidP="00E64B2D">
      <w:pPr>
        <w:spacing w:after="0" w:line="240" w:lineRule="auto"/>
        <w:contextualSpacing/>
        <w:jc w:val="both"/>
      </w:pPr>
    </w:p>
    <w:p w14:paraId="310B5845" w14:textId="77777777" w:rsidR="008749DC" w:rsidRDefault="008749DC" w:rsidP="00E64B2D">
      <w:pPr>
        <w:spacing w:after="0" w:line="240" w:lineRule="auto"/>
        <w:contextualSpacing/>
        <w:jc w:val="both"/>
      </w:pPr>
      <w:r>
        <w:t>Some</w:t>
      </w:r>
      <w:r w:rsidRPr="00233770">
        <w:t xml:space="preserve"> of these holiday parks and residential land lease communities have </w:t>
      </w:r>
      <w:r w:rsidRPr="009B0D68">
        <w:rPr>
          <w:bCs/>
          <w:lang w:eastAsia="en-AU"/>
        </w:rPr>
        <w:t>distributed energy resources (DER), such as</w:t>
      </w:r>
      <w:r w:rsidRPr="009B0D68">
        <w:t xml:space="preserve"> solar photovoltaic</w:t>
      </w:r>
      <w:r>
        <w:t xml:space="preserve"> (PV) panels</w:t>
      </w:r>
      <w:r w:rsidRPr="009B0D68">
        <w:t>, battery storage, diesel generators</w:t>
      </w:r>
      <w:r>
        <w:t>, etc,</w:t>
      </w:r>
      <w:r w:rsidRPr="009B0D68">
        <w:t xml:space="preserve"> </w:t>
      </w:r>
      <w:r>
        <w:t>connected to the local D</w:t>
      </w:r>
      <w:r w:rsidRPr="0076483A">
        <w:t xml:space="preserve">istribution </w:t>
      </w:r>
      <w:r>
        <w:t>N</w:t>
      </w:r>
      <w:r w:rsidRPr="0076483A">
        <w:t xml:space="preserve">etwork </w:t>
      </w:r>
      <w:r>
        <w:t>S</w:t>
      </w:r>
      <w:r w:rsidRPr="0076483A">
        <w:t xml:space="preserve">ervice </w:t>
      </w:r>
      <w:r>
        <w:t>P</w:t>
      </w:r>
      <w:r w:rsidRPr="0076483A">
        <w:t>rovider</w:t>
      </w:r>
      <w:r>
        <w:t>’s</w:t>
      </w:r>
      <w:r w:rsidRPr="0076483A">
        <w:t xml:space="preserve"> (DNSP</w:t>
      </w:r>
      <w:r>
        <w:t>’</w:t>
      </w:r>
      <w:r w:rsidRPr="0076483A">
        <w:t>s</w:t>
      </w:r>
      <w:r>
        <w:t>) network. These assets can be located on office buildings, communal amenities blocks, camp kitchens, recreation rooms, etc, and there are also developments in the industry incorporating electric vehicle charging stations.</w:t>
      </w:r>
    </w:p>
    <w:p w14:paraId="1B460BD6" w14:textId="77777777" w:rsidR="008749DC" w:rsidRDefault="008749DC" w:rsidP="00E64B2D">
      <w:pPr>
        <w:spacing w:after="0" w:line="240" w:lineRule="auto"/>
        <w:contextualSpacing/>
        <w:jc w:val="both"/>
      </w:pPr>
    </w:p>
    <w:p w14:paraId="6940D021" w14:textId="64B118E3" w:rsidR="008749DC" w:rsidRDefault="008749DC" w:rsidP="00E64B2D">
      <w:pPr>
        <w:spacing w:after="0" w:line="240" w:lineRule="auto"/>
        <w:contextualSpacing/>
        <w:jc w:val="both"/>
      </w:pPr>
      <w:r>
        <w:t xml:space="preserve">In addition, many of these </w:t>
      </w:r>
      <w:r w:rsidRPr="00233770">
        <w:t>holiday parks and residential land lease communities</w:t>
      </w:r>
      <w:r>
        <w:t xml:space="preserve"> have </w:t>
      </w:r>
      <w:r w:rsidRPr="00233770">
        <w:rPr>
          <w:bCs/>
          <w:lang w:eastAsia="en-AU"/>
        </w:rPr>
        <w:t xml:space="preserve">embedded electricity networks serving holiday and/or </w:t>
      </w:r>
      <w:r w:rsidRPr="009B0D68">
        <w:rPr>
          <w:bCs/>
          <w:lang w:eastAsia="en-AU"/>
        </w:rPr>
        <w:t>residential customers</w:t>
      </w:r>
      <w:r>
        <w:rPr>
          <w:bCs/>
          <w:lang w:eastAsia="en-AU"/>
        </w:rPr>
        <w:t>, and DER assets</w:t>
      </w:r>
      <w:r w:rsidRPr="009B0D68">
        <w:rPr>
          <w:bCs/>
          <w:lang w:eastAsia="en-AU"/>
        </w:rPr>
        <w:t xml:space="preserve"> </w:t>
      </w:r>
      <w:r>
        <w:t xml:space="preserve">can also be </w:t>
      </w:r>
      <w:r w:rsidRPr="009B0D68">
        <w:t xml:space="preserve">located </w:t>
      </w:r>
      <w:r w:rsidRPr="009B0D68">
        <w:rPr>
          <w:bCs/>
          <w:lang w:eastAsia="en-AU"/>
        </w:rPr>
        <w:t>within these embedded networks</w:t>
      </w:r>
      <w:r w:rsidRPr="009B0D68">
        <w:t xml:space="preserve">. </w:t>
      </w:r>
      <w:r>
        <w:t>S</w:t>
      </w:r>
      <w:r w:rsidRPr="0097657B">
        <w:t>ome residen</w:t>
      </w:r>
      <w:r>
        <w:t>tial</w:t>
      </w:r>
      <w:r w:rsidRPr="0097657B">
        <w:t xml:space="preserve"> customers</w:t>
      </w:r>
      <w:r>
        <w:t xml:space="preserve"> living within residential land lease communities, who</w:t>
      </w:r>
      <w:r w:rsidRPr="0097657B">
        <w:t xml:space="preserve"> own their own dwelling</w:t>
      </w:r>
      <w:r>
        <w:t xml:space="preserve"> </w:t>
      </w:r>
      <w:r w:rsidRPr="0097657B">
        <w:t xml:space="preserve">but rent a site </w:t>
      </w:r>
      <w:r>
        <w:t>from the community operator</w:t>
      </w:r>
      <w:r w:rsidRPr="0097657B">
        <w:t xml:space="preserve">, have or want to install DER </w:t>
      </w:r>
      <w:r>
        <w:t>on</w:t>
      </w:r>
      <w:r w:rsidRPr="0097657B">
        <w:t xml:space="preserve"> their dwelling</w:t>
      </w:r>
      <w:r>
        <w:t>s.</w:t>
      </w:r>
    </w:p>
    <w:p w14:paraId="7914B77E" w14:textId="2AD066B8" w:rsidR="008749DC" w:rsidRDefault="008749DC" w:rsidP="00E64B2D">
      <w:pPr>
        <w:spacing w:after="0" w:line="240" w:lineRule="auto"/>
        <w:contextualSpacing/>
        <w:jc w:val="both"/>
      </w:pPr>
    </w:p>
    <w:p w14:paraId="14D58AAB" w14:textId="093F94D4" w:rsidR="00042D71" w:rsidRDefault="008749DC" w:rsidP="00E64B2D">
      <w:pPr>
        <w:spacing w:after="0" w:line="240" w:lineRule="auto"/>
        <w:contextualSpacing/>
        <w:jc w:val="both"/>
      </w:pPr>
      <w:r>
        <w:t xml:space="preserve">As </w:t>
      </w:r>
      <w:r w:rsidR="00B65B1F">
        <w:t xml:space="preserve">the </w:t>
      </w:r>
      <w:r>
        <w:t xml:space="preserve">Energy Security Board (ESB) </w:t>
      </w:r>
      <w:r w:rsidR="00B65B1F">
        <w:t xml:space="preserve">is developing a </w:t>
      </w:r>
      <w:r w:rsidR="00B65B1F" w:rsidRPr="00B65B1F">
        <w:t xml:space="preserve">long-term governance framework for DER technical standards to involve industry participants in maintaining and amending the standards to support the optimisation of DER services for all energy system users, </w:t>
      </w:r>
      <w:r w:rsidRPr="00B65B1F">
        <w:t>we wish to provide some feedback</w:t>
      </w:r>
      <w:r w:rsidR="00B65B1F" w:rsidRPr="00B65B1F">
        <w:t xml:space="preserve"> </w:t>
      </w:r>
      <w:r w:rsidRPr="00B65B1F">
        <w:t>in the context of DER in our industry.</w:t>
      </w:r>
    </w:p>
    <w:p w14:paraId="622E5944" w14:textId="27236709" w:rsidR="00475E5E" w:rsidRDefault="00475E5E" w:rsidP="00E64B2D">
      <w:pPr>
        <w:spacing w:after="0" w:line="240" w:lineRule="auto"/>
        <w:contextualSpacing/>
        <w:jc w:val="both"/>
      </w:pPr>
    </w:p>
    <w:p w14:paraId="456E2987" w14:textId="77777777" w:rsidR="00886677" w:rsidRDefault="00886677" w:rsidP="00E64B2D">
      <w:pPr>
        <w:jc w:val="both"/>
        <w:rPr>
          <w:b/>
          <w:bCs/>
        </w:rPr>
      </w:pPr>
      <w:r>
        <w:rPr>
          <w:b/>
          <w:bCs/>
        </w:rPr>
        <w:br w:type="page"/>
      </w:r>
    </w:p>
    <w:p w14:paraId="14349C3D" w14:textId="141A063E" w:rsidR="00475E5E" w:rsidRPr="00475E5E" w:rsidRDefault="00475E5E" w:rsidP="00E64B2D">
      <w:pPr>
        <w:spacing w:after="0" w:line="240" w:lineRule="auto"/>
        <w:contextualSpacing/>
        <w:jc w:val="both"/>
        <w:rPr>
          <w:b/>
          <w:bCs/>
        </w:rPr>
      </w:pPr>
      <w:r w:rsidRPr="00475E5E">
        <w:rPr>
          <w:b/>
          <w:bCs/>
        </w:rPr>
        <w:lastRenderedPageBreak/>
        <w:t>Scope of Governance of DER Technical Standards</w:t>
      </w:r>
    </w:p>
    <w:p w14:paraId="206A53FD" w14:textId="2A24DA0B" w:rsidR="00475E5E" w:rsidRDefault="00475E5E" w:rsidP="00E64B2D">
      <w:pPr>
        <w:spacing w:after="0" w:line="240" w:lineRule="auto"/>
        <w:contextualSpacing/>
        <w:jc w:val="both"/>
      </w:pPr>
    </w:p>
    <w:p w14:paraId="335D2249" w14:textId="42A952FC" w:rsidR="00475E5E" w:rsidRDefault="00475E5E" w:rsidP="00E64B2D">
      <w:pPr>
        <w:spacing w:after="0" w:line="240" w:lineRule="auto"/>
        <w:contextualSpacing/>
        <w:jc w:val="both"/>
      </w:pPr>
      <w:r>
        <w:t>W</w:t>
      </w:r>
      <w:r w:rsidRPr="00224AE9">
        <w:t>e would like to seek clarification on the scope of</w:t>
      </w:r>
      <w:r>
        <w:t xml:space="preserve"> the governance framework for </w:t>
      </w:r>
      <w:r w:rsidRPr="00224AE9">
        <w:t xml:space="preserve">DER </w:t>
      </w:r>
      <w:r>
        <w:t>technical standards</w:t>
      </w:r>
      <w:r w:rsidRPr="00224AE9">
        <w:t>.</w:t>
      </w:r>
    </w:p>
    <w:p w14:paraId="6B3D39E6" w14:textId="77777777" w:rsidR="00475E5E" w:rsidRDefault="00475E5E" w:rsidP="00E64B2D">
      <w:pPr>
        <w:spacing w:after="0" w:line="240" w:lineRule="auto"/>
        <w:contextualSpacing/>
        <w:jc w:val="both"/>
      </w:pPr>
    </w:p>
    <w:p w14:paraId="69AE42FE" w14:textId="77777777" w:rsidR="008C0578" w:rsidRDefault="00475E5E" w:rsidP="00E64B2D">
      <w:pPr>
        <w:spacing w:after="0" w:line="240" w:lineRule="auto"/>
        <w:contextualSpacing/>
        <w:jc w:val="both"/>
      </w:pPr>
      <w:r>
        <w:t xml:space="preserve">We note </w:t>
      </w:r>
      <w:r w:rsidR="008C0578">
        <w:t>in the Australian Energy Market Operator’s</w:t>
      </w:r>
      <w:r>
        <w:t xml:space="preserve"> </w:t>
      </w:r>
      <w:r w:rsidR="008C0578">
        <w:t>(</w:t>
      </w:r>
      <w:r w:rsidR="00B1355B">
        <w:t>AEMO’s</w:t>
      </w:r>
      <w:r w:rsidR="008C0578">
        <w:t>)</w:t>
      </w:r>
      <w:r>
        <w:t xml:space="preserve"> request </w:t>
      </w:r>
      <w:r w:rsidR="00B1355B">
        <w:t>to</w:t>
      </w:r>
      <w:r w:rsidR="00DD483D">
        <w:t xml:space="preserve"> the AEMC</w:t>
      </w:r>
      <w:r w:rsidR="00B1355B">
        <w:t xml:space="preserve"> </w:t>
      </w:r>
      <w:r w:rsidR="00DD483D">
        <w:t xml:space="preserve">for a rule change to </w:t>
      </w:r>
      <w:r w:rsidR="00B1355B">
        <w:t>oblige it to create a subordinate</w:t>
      </w:r>
      <w:r w:rsidR="00DD483D">
        <w:t xml:space="preserve"> </w:t>
      </w:r>
      <w:r w:rsidR="00B1355B">
        <w:t xml:space="preserve">instrument for DER minimum technical standards, it </w:t>
      </w:r>
      <w:r w:rsidRPr="00224AE9">
        <w:t xml:space="preserve">has proposed to apply the standards to newly connected DER devices (and </w:t>
      </w:r>
      <w:r w:rsidR="008C0578">
        <w:t>augmentations, upgrades, replacements, etc</w:t>
      </w:r>
      <w:r w:rsidRPr="00224AE9">
        <w:t>) for which the DNSP</w:t>
      </w:r>
      <w:r>
        <w:t>’s</w:t>
      </w:r>
      <w:r w:rsidRPr="00224AE9">
        <w:t xml:space="preserve"> ha</w:t>
      </w:r>
      <w:r>
        <w:t>ve</w:t>
      </w:r>
      <w:r w:rsidRPr="00224AE9">
        <w:t xml:space="preserve"> visibility</w:t>
      </w:r>
      <w:r w:rsidR="00DD483D">
        <w:t xml:space="preserve">. </w:t>
      </w:r>
    </w:p>
    <w:p w14:paraId="53F1E2EA" w14:textId="77777777" w:rsidR="008C0578" w:rsidRDefault="008C0578" w:rsidP="00E64B2D">
      <w:pPr>
        <w:spacing w:after="0" w:line="240" w:lineRule="auto"/>
        <w:contextualSpacing/>
        <w:jc w:val="both"/>
      </w:pPr>
    </w:p>
    <w:p w14:paraId="538129C9" w14:textId="1BBD9B0C" w:rsidR="00475E5E" w:rsidRPr="00224AE9" w:rsidRDefault="00DD483D" w:rsidP="00E64B2D">
      <w:pPr>
        <w:spacing w:after="0" w:line="240" w:lineRule="auto"/>
        <w:contextualSpacing/>
        <w:jc w:val="both"/>
      </w:pPr>
      <w:r>
        <w:t>AEMO</w:t>
      </w:r>
      <w:r w:rsidR="00475E5E" w:rsidRPr="00224AE9">
        <w:t xml:space="preserve"> suggests the following definition of DER:</w:t>
      </w:r>
    </w:p>
    <w:p w14:paraId="1D2CE414" w14:textId="77777777" w:rsidR="00475E5E" w:rsidRDefault="00475E5E" w:rsidP="00E64B2D">
      <w:pPr>
        <w:spacing w:after="0" w:line="240" w:lineRule="auto"/>
        <w:contextualSpacing/>
        <w:jc w:val="both"/>
      </w:pPr>
    </w:p>
    <w:p w14:paraId="5E36A7DC" w14:textId="302B5E36" w:rsidR="00475E5E" w:rsidRPr="00967971" w:rsidRDefault="00475E5E" w:rsidP="00E64B2D">
      <w:pPr>
        <w:spacing w:after="0" w:line="240" w:lineRule="auto"/>
        <w:ind w:left="720"/>
        <w:contextualSpacing/>
        <w:jc w:val="both"/>
      </w:pPr>
      <w:r w:rsidRPr="006D0509">
        <w:rPr>
          <w:i/>
          <w:iCs/>
        </w:rPr>
        <w:t>The types of resources/assets including small and medium scale distributed generation (such as solar PV), energy storage (such as small and medium-scale batteries and electric vehicles that can deliver energy from the vehicle to the power system) and controllable loads (such as air conditioners, electric storage hot water systems, pool pumps, and electric vehicle supply equipment) that connect to the distribution system.</w:t>
      </w:r>
      <w:r w:rsidR="00967971">
        <w:rPr>
          <w:rStyle w:val="FootnoteReference"/>
          <w:i/>
          <w:iCs/>
        </w:rPr>
        <w:footnoteReference w:id="1"/>
      </w:r>
    </w:p>
    <w:p w14:paraId="71D27F88" w14:textId="77777777" w:rsidR="00475E5E" w:rsidRDefault="00475E5E" w:rsidP="00E64B2D">
      <w:pPr>
        <w:spacing w:after="0" w:line="240" w:lineRule="auto"/>
        <w:contextualSpacing/>
        <w:jc w:val="both"/>
      </w:pPr>
    </w:p>
    <w:p w14:paraId="337371BA" w14:textId="77777777" w:rsidR="00475E5E" w:rsidRDefault="00475E5E" w:rsidP="00E64B2D">
      <w:pPr>
        <w:spacing w:after="0" w:line="240" w:lineRule="auto"/>
        <w:contextualSpacing/>
        <w:jc w:val="both"/>
      </w:pPr>
      <w:r>
        <w:t>“Connected DER” would be:</w:t>
      </w:r>
    </w:p>
    <w:p w14:paraId="6EDEC702" w14:textId="77777777" w:rsidR="00475E5E" w:rsidRDefault="00475E5E" w:rsidP="00E64B2D">
      <w:pPr>
        <w:spacing w:after="0" w:line="240" w:lineRule="auto"/>
        <w:contextualSpacing/>
        <w:jc w:val="both"/>
      </w:pPr>
    </w:p>
    <w:p w14:paraId="73857AC7" w14:textId="77777777" w:rsidR="00475E5E" w:rsidRDefault="00475E5E" w:rsidP="00E64B2D">
      <w:pPr>
        <w:pStyle w:val="ListParagraph"/>
        <w:numPr>
          <w:ilvl w:val="0"/>
          <w:numId w:val="1"/>
        </w:numPr>
        <w:spacing w:before="0" w:after="0" w:line="240" w:lineRule="auto"/>
        <w:jc w:val="both"/>
        <w:rPr>
          <w:rFonts w:ascii="HelveticaNeueLT Std" w:hAnsi="HelveticaNeueLT Std"/>
          <w:sz w:val="22"/>
          <w:szCs w:val="22"/>
        </w:rPr>
      </w:pPr>
      <w:r w:rsidRPr="00A23840">
        <w:rPr>
          <w:rFonts w:ascii="HelveticaNeueLT Std" w:hAnsi="HelveticaNeueLT Std"/>
          <w:sz w:val="22"/>
          <w:szCs w:val="22"/>
        </w:rPr>
        <w:t>DER that is newly connected or to be connected within a distribution system</w:t>
      </w:r>
      <w:r>
        <w:rPr>
          <w:rFonts w:ascii="HelveticaNeueLT Std" w:hAnsi="HelveticaNeueLT Std"/>
          <w:sz w:val="22"/>
          <w:szCs w:val="22"/>
        </w:rPr>
        <w:t>,</w:t>
      </w:r>
      <w:r w:rsidRPr="00A23840">
        <w:rPr>
          <w:rFonts w:ascii="HelveticaNeueLT Std" w:hAnsi="HelveticaNeueLT Std"/>
          <w:sz w:val="22"/>
          <w:szCs w:val="22"/>
        </w:rPr>
        <w:t xml:space="preserve"> and</w:t>
      </w:r>
    </w:p>
    <w:p w14:paraId="62C42997" w14:textId="216DD862" w:rsidR="00475E5E" w:rsidRDefault="00475E5E" w:rsidP="00E64B2D">
      <w:pPr>
        <w:pStyle w:val="ListParagraph"/>
        <w:numPr>
          <w:ilvl w:val="0"/>
          <w:numId w:val="1"/>
        </w:numPr>
        <w:spacing w:before="0" w:after="0" w:line="240" w:lineRule="auto"/>
        <w:jc w:val="both"/>
        <w:rPr>
          <w:rFonts w:ascii="HelveticaNeueLT Std" w:hAnsi="HelveticaNeueLT Std"/>
          <w:sz w:val="22"/>
          <w:szCs w:val="22"/>
        </w:rPr>
      </w:pPr>
      <w:r w:rsidRPr="00A23840">
        <w:rPr>
          <w:rFonts w:ascii="HelveticaNeueLT Std" w:hAnsi="HelveticaNeueLT Std"/>
          <w:sz w:val="22"/>
          <w:szCs w:val="22"/>
        </w:rPr>
        <w:t>DER within a distribution system that is newly augmented, upgraded, extended or replaced – that is, when a customer (or their representative) contacts the DNSP, or when a requirement on a customer (or their representative) to contact the DNSP is triggered.</w:t>
      </w:r>
      <w:r w:rsidR="00967971">
        <w:rPr>
          <w:rStyle w:val="FootnoteReference"/>
          <w:rFonts w:ascii="HelveticaNeueLT Std" w:hAnsi="HelveticaNeueLT Std"/>
          <w:sz w:val="22"/>
          <w:szCs w:val="22"/>
        </w:rPr>
        <w:footnoteReference w:id="2"/>
      </w:r>
      <w:r w:rsidRPr="00A23840">
        <w:rPr>
          <w:rFonts w:ascii="HelveticaNeueLT Std" w:hAnsi="HelveticaNeueLT Std"/>
          <w:sz w:val="22"/>
          <w:szCs w:val="22"/>
        </w:rPr>
        <w:t xml:space="preserve"> </w:t>
      </w:r>
    </w:p>
    <w:p w14:paraId="1A7C6518" w14:textId="77777777" w:rsidR="00475E5E" w:rsidRDefault="00475E5E" w:rsidP="00E64B2D">
      <w:pPr>
        <w:spacing w:after="0" w:line="240" w:lineRule="auto"/>
        <w:jc w:val="both"/>
      </w:pPr>
    </w:p>
    <w:p w14:paraId="313EF807" w14:textId="77777777" w:rsidR="00475E5E" w:rsidRPr="000F1823" w:rsidRDefault="00475E5E" w:rsidP="00E64B2D">
      <w:pPr>
        <w:spacing w:after="0" w:line="240" w:lineRule="auto"/>
        <w:jc w:val="both"/>
      </w:pPr>
      <w:r w:rsidRPr="000F1823">
        <w:t>To establish compliance, definitions of “DER” and “connected DER” would then need to be included in DNSP’s connection agreement terms and conditions.</w:t>
      </w:r>
    </w:p>
    <w:p w14:paraId="57BDE1C2" w14:textId="77777777" w:rsidR="00475E5E" w:rsidRPr="008B52DB" w:rsidRDefault="00475E5E" w:rsidP="00E64B2D">
      <w:pPr>
        <w:spacing w:after="0" w:line="240" w:lineRule="auto"/>
        <w:contextualSpacing/>
        <w:jc w:val="both"/>
      </w:pPr>
    </w:p>
    <w:p w14:paraId="2A8AB8AD" w14:textId="1B5EDDE5" w:rsidR="00475E5E" w:rsidRPr="004A7B44" w:rsidRDefault="00475E5E" w:rsidP="00E64B2D">
      <w:pPr>
        <w:spacing w:after="0" w:line="240" w:lineRule="auto"/>
        <w:contextualSpacing/>
        <w:jc w:val="both"/>
      </w:pPr>
      <w:r w:rsidRPr="008B52DB">
        <w:t xml:space="preserve">While these definitions would take account of </w:t>
      </w:r>
      <w:r>
        <w:t xml:space="preserve">customers </w:t>
      </w:r>
      <w:r w:rsidRPr="008B52DB">
        <w:t>that want to install or replace DER within their premises</w:t>
      </w:r>
      <w:r>
        <w:t xml:space="preserve"> </w:t>
      </w:r>
      <w:r w:rsidRPr="008B52DB">
        <w:t xml:space="preserve">that connect to the </w:t>
      </w:r>
      <w:r>
        <w:t xml:space="preserve">local DNSP’s </w:t>
      </w:r>
      <w:r w:rsidRPr="008B52DB">
        <w:t>distribution system</w:t>
      </w:r>
      <w:r>
        <w:t xml:space="preserve">, </w:t>
      </w:r>
      <w:r w:rsidR="00DD483D">
        <w:t xml:space="preserve">in our submission to the </w:t>
      </w:r>
      <w:r w:rsidR="00DD483D" w:rsidRPr="00B1355B">
        <w:rPr>
          <w:i/>
          <w:iCs/>
        </w:rPr>
        <w:t>AEMC</w:t>
      </w:r>
      <w:r w:rsidR="00DD483D">
        <w:t xml:space="preserve"> </w:t>
      </w:r>
      <w:r w:rsidR="00DD483D" w:rsidRPr="00B1355B">
        <w:rPr>
          <w:i/>
          <w:iCs/>
        </w:rPr>
        <w:t>Technical Standards for Distributed Energy Resources Consultation Paper</w:t>
      </w:r>
      <w:r w:rsidR="00DD483D">
        <w:rPr>
          <w:i/>
          <w:iCs/>
        </w:rPr>
        <w:t xml:space="preserve">, 25 June 2020 </w:t>
      </w:r>
      <w:r w:rsidR="00DD483D">
        <w:t xml:space="preserve">(AEMC Consultation Paper) </w:t>
      </w:r>
      <w:r w:rsidR="00B1355B">
        <w:t>we have asked for clarification on</w:t>
      </w:r>
      <w:r w:rsidRPr="004A7B44">
        <w:t xml:space="preserve"> DER installed within embedded networks</w:t>
      </w:r>
      <w:r w:rsidR="00B1355B">
        <w:t>.</w:t>
      </w:r>
      <w:r>
        <w:t xml:space="preserve"> </w:t>
      </w:r>
      <w:r w:rsidR="00DD483D">
        <w:t>We</w:t>
      </w:r>
      <w:r w:rsidR="00B1355B">
        <w:t xml:space="preserve"> </w:t>
      </w:r>
      <w:r>
        <w:t>are not clear on how th</w:t>
      </w:r>
      <w:r w:rsidR="00B1355B">
        <w:t>ese assets</w:t>
      </w:r>
      <w:r>
        <w:t xml:space="preserve"> are being taken into account by the market bodies.</w:t>
      </w:r>
    </w:p>
    <w:p w14:paraId="26DB9F96" w14:textId="77777777" w:rsidR="00475E5E" w:rsidRPr="004A7B44" w:rsidRDefault="00475E5E" w:rsidP="00E64B2D">
      <w:pPr>
        <w:spacing w:after="0" w:line="240" w:lineRule="auto"/>
        <w:contextualSpacing/>
        <w:jc w:val="both"/>
      </w:pPr>
    </w:p>
    <w:p w14:paraId="5286160E" w14:textId="6E81FC97" w:rsidR="00475E5E" w:rsidRPr="004C0826" w:rsidRDefault="00475E5E" w:rsidP="00E64B2D">
      <w:pPr>
        <w:spacing w:after="0" w:line="240" w:lineRule="auto"/>
        <w:contextualSpacing/>
        <w:jc w:val="both"/>
      </w:pPr>
      <w:r w:rsidRPr="004A7B44">
        <w:t xml:space="preserve">Under the </w:t>
      </w:r>
      <w:r w:rsidR="004C0826">
        <w:t>National Electricity Rules (</w:t>
      </w:r>
      <w:r w:rsidRPr="004A7B44">
        <w:t>NER</w:t>
      </w:r>
      <w:r w:rsidR="004C0826">
        <w:t>)</w:t>
      </w:r>
      <w:r w:rsidRPr="004A7B44">
        <w:t xml:space="preserve"> an embedded network is considered </w:t>
      </w:r>
      <w:r w:rsidRPr="006D0509">
        <w:rPr>
          <w:i/>
          <w:iCs/>
        </w:rPr>
        <w:t>“a distribution system, connected at a parent connection point to either a distribution system or transmission system that forms part of the national grid, and which is owned, controlled or operated by a person who is not a Network Service Provider.”</w:t>
      </w:r>
      <w:r w:rsidR="004C0826">
        <w:rPr>
          <w:rStyle w:val="FootnoteReference"/>
          <w:i/>
          <w:iCs/>
        </w:rPr>
        <w:footnoteReference w:id="3"/>
      </w:r>
    </w:p>
    <w:p w14:paraId="7D090BBF" w14:textId="411C2B7E" w:rsidR="00475E5E" w:rsidRDefault="00475E5E" w:rsidP="00E64B2D">
      <w:pPr>
        <w:spacing w:after="0" w:line="240" w:lineRule="auto"/>
        <w:contextualSpacing/>
        <w:jc w:val="both"/>
      </w:pPr>
    </w:p>
    <w:p w14:paraId="6AF36727" w14:textId="7CE0AA13" w:rsidR="00D859C8" w:rsidRPr="00D859C8" w:rsidRDefault="00B1355B" w:rsidP="00E64B2D">
      <w:pPr>
        <w:spacing w:after="0" w:line="240" w:lineRule="auto"/>
        <w:contextualSpacing/>
        <w:jc w:val="both"/>
      </w:pPr>
      <w:r>
        <w:t>Similar to</w:t>
      </w:r>
      <w:r w:rsidR="004C2011">
        <w:t xml:space="preserve"> the AEMC Consultation Paper</w:t>
      </w:r>
      <w:r>
        <w:t xml:space="preserve">, the </w:t>
      </w:r>
      <w:r w:rsidRPr="00B1355B">
        <w:rPr>
          <w:i/>
          <w:iCs/>
        </w:rPr>
        <w:t xml:space="preserve">ESB </w:t>
      </w:r>
      <w:r w:rsidRPr="00D859C8">
        <w:rPr>
          <w:i/>
          <w:iCs/>
        </w:rPr>
        <w:t>Governance of DER Technical Standards Consultation Paper</w:t>
      </w:r>
      <w:r w:rsidR="00D5320A">
        <w:rPr>
          <w:i/>
          <w:iCs/>
        </w:rPr>
        <w:t>, July 2020</w:t>
      </w:r>
      <w:r w:rsidRPr="00D859C8">
        <w:t xml:space="preserve"> (ESB Consultation Paper) </w:t>
      </w:r>
      <w:r w:rsidR="00D859C8" w:rsidRPr="00D859C8">
        <w:t>does not make any</w:t>
      </w:r>
      <w:r w:rsidRPr="00D859C8">
        <w:t xml:space="preserve"> specific mention of DER in embedded network</w:t>
      </w:r>
      <w:r w:rsidR="00D859C8">
        <w:t>s</w:t>
      </w:r>
      <w:r w:rsidR="00D859C8" w:rsidRPr="00D859C8">
        <w:t>,</w:t>
      </w:r>
      <w:r w:rsidR="00D859C8">
        <w:t xml:space="preserve"> but there are</w:t>
      </w:r>
      <w:r w:rsidR="00D859C8" w:rsidRPr="00D859C8">
        <w:t xml:space="preserve"> references to ‘</w:t>
      </w:r>
      <w:r w:rsidR="00D859C8">
        <w:rPr>
          <w:rFonts w:cs="Calibri"/>
          <w:color w:val="000000"/>
        </w:rPr>
        <w:t>n</w:t>
      </w:r>
      <w:r w:rsidR="00D859C8" w:rsidRPr="00D859C8">
        <w:rPr>
          <w:rFonts w:cs="Calibri"/>
          <w:color w:val="000000"/>
        </w:rPr>
        <w:t>on-NEM connected networks</w:t>
      </w:r>
      <w:r w:rsidR="00D859C8">
        <w:rPr>
          <w:rFonts w:cs="Calibri"/>
          <w:color w:val="000000"/>
        </w:rPr>
        <w:t>.</w:t>
      </w:r>
      <w:r w:rsidR="00D859C8" w:rsidRPr="00D859C8">
        <w:rPr>
          <w:rFonts w:cs="Calibri"/>
          <w:color w:val="000000"/>
        </w:rPr>
        <w:t>’</w:t>
      </w:r>
    </w:p>
    <w:p w14:paraId="3FA96206" w14:textId="77777777" w:rsidR="00D859C8" w:rsidRDefault="00D859C8" w:rsidP="00E64B2D">
      <w:pPr>
        <w:spacing w:after="0" w:line="240" w:lineRule="auto"/>
        <w:contextualSpacing/>
        <w:jc w:val="both"/>
      </w:pPr>
    </w:p>
    <w:p w14:paraId="4D3994AB" w14:textId="7166B385" w:rsidR="00C953A6" w:rsidRDefault="00D859C8" w:rsidP="00E64B2D">
      <w:pPr>
        <w:spacing w:after="0" w:line="240" w:lineRule="auto"/>
        <w:contextualSpacing/>
        <w:jc w:val="both"/>
      </w:pPr>
      <w:r>
        <w:t>We</w:t>
      </w:r>
      <w:r w:rsidR="00D5320A">
        <w:t xml:space="preserve"> therefore ask the ESB the same question asked of the AEMC – is consideration being given to whether </w:t>
      </w:r>
      <w:r w:rsidR="00D5320A" w:rsidRPr="004A7B44">
        <w:t xml:space="preserve">these assets </w:t>
      </w:r>
      <w:r w:rsidR="00D5320A">
        <w:t xml:space="preserve">should </w:t>
      </w:r>
      <w:r w:rsidR="00D5320A" w:rsidRPr="004A7B44">
        <w:t>also be subject to minimum DER capabilities</w:t>
      </w:r>
      <w:r w:rsidR="00D5320A">
        <w:t>?</w:t>
      </w:r>
    </w:p>
    <w:p w14:paraId="1AA42F10" w14:textId="77777777" w:rsidR="00D5320A" w:rsidRDefault="00D5320A" w:rsidP="00E64B2D">
      <w:pPr>
        <w:spacing w:after="0" w:line="240" w:lineRule="auto"/>
        <w:contextualSpacing/>
        <w:jc w:val="both"/>
      </w:pPr>
    </w:p>
    <w:p w14:paraId="0FA240D3" w14:textId="6938538F" w:rsidR="00475E5E" w:rsidRDefault="004C2011" w:rsidP="00E64B2D">
      <w:pPr>
        <w:spacing w:after="0" w:line="240" w:lineRule="auto"/>
        <w:contextualSpacing/>
        <w:jc w:val="both"/>
      </w:pPr>
      <w:r>
        <w:lastRenderedPageBreak/>
        <w:t>If yes, what</w:t>
      </w:r>
      <w:r w:rsidR="00475E5E">
        <w:t xml:space="preserve"> </w:t>
      </w:r>
      <w:r>
        <w:t xml:space="preserve">obligations will be placed on </w:t>
      </w:r>
      <w:r w:rsidR="004C0826">
        <w:t xml:space="preserve">exempt </w:t>
      </w:r>
      <w:r w:rsidR="00475E5E" w:rsidRPr="004A7B44">
        <w:t>embedded network service provider</w:t>
      </w:r>
      <w:r w:rsidR="00DD483D">
        <w:t>s</w:t>
      </w:r>
      <w:r w:rsidR="00475E5E" w:rsidRPr="004A7B44">
        <w:t xml:space="preserve">? </w:t>
      </w:r>
      <w:r>
        <w:t>H</w:t>
      </w:r>
      <w:r w:rsidR="00475E5E">
        <w:t xml:space="preserve">ow </w:t>
      </w:r>
      <w:r w:rsidR="00475E5E" w:rsidRPr="004A7B44">
        <w:t xml:space="preserve">would </w:t>
      </w:r>
      <w:r w:rsidR="00475E5E">
        <w:t xml:space="preserve">they </w:t>
      </w:r>
      <w:r w:rsidR="00475E5E" w:rsidRPr="004A7B44">
        <w:t xml:space="preserve">be responsible for compliance? How would this be overseen? What </w:t>
      </w:r>
      <w:r w:rsidR="00475E5E">
        <w:t>authority</w:t>
      </w:r>
      <w:r w:rsidR="00475E5E" w:rsidRPr="004A7B44">
        <w:t xml:space="preserve"> </w:t>
      </w:r>
      <w:r w:rsidR="00C953A6">
        <w:t xml:space="preserve">will </w:t>
      </w:r>
      <w:r w:rsidR="00D5320A">
        <w:t xml:space="preserve">exempt </w:t>
      </w:r>
      <w:r w:rsidR="00475E5E">
        <w:t>embedded network service providers</w:t>
      </w:r>
      <w:r w:rsidR="00475E5E" w:rsidRPr="004A7B44">
        <w:t xml:space="preserve"> have to refuse </w:t>
      </w:r>
      <w:r w:rsidR="00475E5E">
        <w:t xml:space="preserve">connections of non-compliant </w:t>
      </w:r>
      <w:r w:rsidR="00475E5E" w:rsidRPr="004A7B44">
        <w:t>DER</w:t>
      </w:r>
      <w:r w:rsidR="00475E5E">
        <w:t xml:space="preserve">? </w:t>
      </w:r>
      <w:r w:rsidR="00475E5E" w:rsidRPr="004A7B44">
        <w:t>What if connection agreements form part of tenancy arrangements governed by state legislation?</w:t>
      </w:r>
    </w:p>
    <w:p w14:paraId="5E9D8949" w14:textId="77777777" w:rsidR="00475E5E" w:rsidRPr="004A7B44" w:rsidRDefault="00475E5E" w:rsidP="00E64B2D">
      <w:pPr>
        <w:spacing w:after="0" w:line="240" w:lineRule="auto"/>
        <w:contextualSpacing/>
        <w:jc w:val="both"/>
      </w:pPr>
    </w:p>
    <w:p w14:paraId="62CD9642" w14:textId="52263B57" w:rsidR="00475E5E" w:rsidRPr="00B65B1F" w:rsidRDefault="00475E5E" w:rsidP="00E64B2D">
      <w:pPr>
        <w:spacing w:after="0" w:line="240" w:lineRule="auto"/>
        <w:contextualSpacing/>
        <w:jc w:val="both"/>
      </w:pPr>
      <w:r w:rsidRPr="004A7B44">
        <w:t>As DER can</w:t>
      </w:r>
      <w:r>
        <w:t xml:space="preserve"> </w:t>
      </w:r>
      <w:r w:rsidRPr="004A7B44">
        <w:t>provide additional benefits in embedded networks</w:t>
      </w:r>
      <w:r w:rsidR="00D5320A">
        <w:t>,</w:t>
      </w:r>
      <w:r w:rsidR="004C2011">
        <w:t xml:space="preserve"> we are seeking clarification on whether the governance framework for </w:t>
      </w:r>
      <w:r w:rsidR="004C2011" w:rsidRPr="00224AE9">
        <w:t xml:space="preserve">DER </w:t>
      </w:r>
      <w:r w:rsidR="004C2011">
        <w:t xml:space="preserve">technical standards will extend to </w:t>
      </w:r>
      <w:r w:rsidRPr="004A7B44">
        <w:t>these assets</w:t>
      </w:r>
      <w:r w:rsidR="004C2011">
        <w:t>.</w:t>
      </w:r>
      <w:r w:rsidR="003A77BB">
        <w:t xml:space="preserve"> </w:t>
      </w:r>
      <w:r w:rsidR="00D5320A">
        <w:t xml:space="preserve">If yes, </w:t>
      </w:r>
      <w:r w:rsidR="003A77BB">
        <w:t>o</w:t>
      </w:r>
      <w:r w:rsidR="00441995">
        <w:t>ur</w:t>
      </w:r>
      <w:r w:rsidR="00DD483D">
        <w:t xml:space="preserve"> </w:t>
      </w:r>
      <w:r w:rsidR="00886677">
        <w:t xml:space="preserve">responses to </w:t>
      </w:r>
      <w:r w:rsidR="00886677" w:rsidRPr="00B65B1F">
        <w:t>the questions for stakeholders</w:t>
      </w:r>
      <w:r w:rsidR="00886677">
        <w:t xml:space="preserve"> are below.</w:t>
      </w:r>
    </w:p>
    <w:p w14:paraId="0FF8C537" w14:textId="043C2B41" w:rsidR="00E37603" w:rsidRPr="00B65B1F" w:rsidRDefault="00E37603" w:rsidP="00E64B2D">
      <w:pPr>
        <w:spacing w:after="0" w:line="240" w:lineRule="auto"/>
        <w:jc w:val="both"/>
      </w:pPr>
    </w:p>
    <w:p w14:paraId="5057E0B0" w14:textId="68249DE3" w:rsidR="00B65B1F" w:rsidRPr="00754720" w:rsidRDefault="00B65B1F" w:rsidP="00E64B2D">
      <w:pPr>
        <w:autoSpaceDE w:val="0"/>
        <w:autoSpaceDN w:val="0"/>
        <w:adjustRightInd w:val="0"/>
        <w:spacing w:after="0" w:line="240" w:lineRule="auto"/>
        <w:jc w:val="both"/>
        <w:rPr>
          <w:b/>
          <w:bCs/>
          <w:sz w:val="24"/>
          <w:szCs w:val="24"/>
        </w:rPr>
      </w:pPr>
      <w:r w:rsidRPr="00754720">
        <w:rPr>
          <w:rFonts w:cs="Calibri"/>
          <w:b/>
          <w:bCs/>
          <w:color w:val="000000"/>
        </w:rPr>
        <w:t xml:space="preserve">Question 1. Do you support the proposal to establish a DER Standards Governance Committee under the National Electricity Rules? If not, what alternative would you suggest? </w:t>
      </w:r>
    </w:p>
    <w:p w14:paraId="68834940" w14:textId="0F9E0920" w:rsidR="00E37603" w:rsidRDefault="00E37603" w:rsidP="00E64B2D">
      <w:pPr>
        <w:spacing w:after="0" w:line="240" w:lineRule="auto"/>
        <w:jc w:val="both"/>
      </w:pPr>
    </w:p>
    <w:p w14:paraId="07A3C889" w14:textId="1EEB1E90" w:rsidR="00E37603" w:rsidRPr="00E37603" w:rsidRDefault="00E37603" w:rsidP="00E64B2D">
      <w:pPr>
        <w:spacing w:after="0" w:line="240" w:lineRule="auto"/>
        <w:jc w:val="both"/>
      </w:pPr>
      <w:r>
        <w:t xml:space="preserve">We </w:t>
      </w:r>
      <w:r w:rsidRPr="00E37603">
        <w:t>agree that there is a need to create a new governance coordinating structure to provide clear leadership and to allow for improved, national coordination of DER technical standards.</w:t>
      </w:r>
    </w:p>
    <w:p w14:paraId="7C693744" w14:textId="3E892F2A" w:rsidR="00E37603" w:rsidRPr="00E37603" w:rsidRDefault="00E37603" w:rsidP="00E64B2D">
      <w:pPr>
        <w:spacing w:after="0" w:line="240" w:lineRule="auto"/>
        <w:jc w:val="both"/>
      </w:pPr>
    </w:p>
    <w:p w14:paraId="7F2AFB40" w14:textId="7EB7A828" w:rsidR="009E0B59" w:rsidRPr="009E0B59" w:rsidRDefault="00E37603" w:rsidP="00E64B2D">
      <w:pPr>
        <w:autoSpaceDE w:val="0"/>
        <w:autoSpaceDN w:val="0"/>
        <w:adjustRightInd w:val="0"/>
        <w:spacing w:after="0" w:line="240" w:lineRule="auto"/>
        <w:jc w:val="both"/>
        <w:rPr>
          <w:rFonts w:cs="Calibri"/>
          <w:color w:val="000000"/>
        </w:rPr>
      </w:pPr>
      <w:r w:rsidRPr="00E37603">
        <w:t xml:space="preserve">The proposal </w:t>
      </w:r>
      <w:r w:rsidR="008749DC">
        <w:t xml:space="preserve">set out in the </w:t>
      </w:r>
      <w:r w:rsidR="00441995">
        <w:t xml:space="preserve">ESB </w:t>
      </w:r>
      <w:r w:rsidR="008749DC">
        <w:t xml:space="preserve">Consultation Paper </w:t>
      </w:r>
      <w:r w:rsidRPr="00E37603">
        <w:t xml:space="preserve">to </w:t>
      </w:r>
      <w:r>
        <w:t>create</w:t>
      </w:r>
      <w:r w:rsidRPr="00E37603">
        <w:t xml:space="preserve"> a </w:t>
      </w:r>
      <w:r w:rsidRPr="00E37603">
        <w:rPr>
          <w:rFonts w:cs="Calibri"/>
          <w:color w:val="000000"/>
        </w:rPr>
        <w:t xml:space="preserve">DER Standards Governance </w:t>
      </w:r>
      <w:r w:rsidRPr="009E0B59">
        <w:rPr>
          <w:rFonts w:cs="Calibri"/>
          <w:color w:val="000000"/>
        </w:rPr>
        <w:t>Committee</w:t>
      </w:r>
      <w:r w:rsidR="001A3CB5">
        <w:rPr>
          <w:rFonts w:cs="Calibri"/>
          <w:color w:val="000000"/>
        </w:rPr>
        <w:t xml:space="preserve"> (“Committee”)</w:t>
      </w:r>
      <w:r w:rsidRPr="009E0B59">
        <w:rPr>
          <w:rFonts w:cs="Calibri"/>
          <w:color w:val="000000"/>
        </w:rPr>
        <w:t>, convened under</w:t>
      </w:r>
      <w:r w:rsidR="008749DC" w:rsidRPr="009E0B59">
        <w:t xml:space="preserve"> </w:t>
      </w:r>
      <w:r w:rsidRPr="009E0B59">
        <w:rPr>
          <w:rFonts w:cs="Calibri"/>
          <w:color w:val="000000"/>
        </w:rPr>
        <w:t xml:space="preserve">the AEMC within the National Electricity Law (NEL) </w:t>
      </w:r>
      <w:r w:rsidR="008749DC" w:rsidRPr="009E0B59">
        <w:rPr>
          <w:rFonts w:cs="Calibri"/>
          <w:color w:val="000000"/>
        </w:rPr>
        <w:t xml:space="preserve">and </w:t>
      </w:r>
      <w:r w:rsidRPr="009E0B59">
        <w:rPr>
          <w:rFonts w:cs="Calibri"/>
          <w:color w:val="000000"/>
        </w:rPr>
        <w:t xml:space="preserve">established under specific </w:t>
      </w:r>
      <w:r w:rsidR="008749DC" w:rsidRPr="009E0B59">
        <w:rPr>
          <w:rFonts w:cs="Calibri"/>
          <w:color w:val="000000"/>
        </w:rPr>
        <w:t>r</w:t>
      </w:r>
      <w:r w:rsidRPr="009E0B59">
        <w:rPr>
          <w:rFonts w:cs="Calibri"/>
          <w:color w:val="000000"/>
        </w:rPr>
        <w:t xml:space="preserve">ules in the </w:t>
      </w:r>
      <w:r w:rsidR="008749DC" w:rsidRPr="009E0B59">
        <w:rPr>
          <w:rFonts w:cs="Calibri"/>
          <w:color w:val="000000"/>
        </w:rPr>
        <w:t>NER to prescribe</w:t>
      </w:r>
      <w:r w:rsidRPr="009E0B59">
        <w:rPr>
          <w:rFonts w:cs="Calibri"/>
          <w:color w:val="000000"/>
        </w:rPr>
        <w:t xml:space="preserve"> its appointment, operation</w:t>
      </w:r>
      <w:r w:rsidR="008749DC" w:rsidRPr="009E0B59">
        <w:rPr>
          <w:rFonts w:cs="Calibri"/>
          <w:color w:val="000000"/>
        </w:rPr>
        <w:t>, functions and</w:t>
      </w:r>
      <w:r w:rsidRPr="009E0B59">
        <w:rPr>
          <w:rFonts w:cs="Calibri"/>
          <w:color w:val="000000"/>
        </w:rPr>
        <w:t xml:space="preserve"> powers</w:t>
      </w:r>
      <w:r w:rsidR="008749DC" w:rsidRPr="009E0B59">
        <w:rPr>
          <w:rFonts w:cs="Calibri"/>
          <w:color w:val="000000"/>
        </w:rPr>
        <w:t xml:space="preserve">, </w:t>
      </w:r>
      <w:r w:rsidR="00B65B1F" w:rsidRPr="009E0B59">
        <w:rPr>
          <w:rFonts w:cs="Calibri"/>
          <w:color w:val="000000"/>
        </w:rPr>
        <w:t>appears</w:t>
      </w:r>
      <w:r w:rsidR="008749DC" w:rsidRPr="009E0B59">
        <w:rPr>
          <w:rFonts w:cs="Calibri"/>
          <w:color w:val="000000"/>
        </w:rPr>
        <w:t xml:space="preserve"> to be </w:t>
      </w:r>
      <w:r w:rsidR="00B65B1F" w:rsidRPr="009E0B59">
        <w:rPr>
          <w:rFonts w:cs="Calibri"/>
          <w:color w:val="000000"/>
        </w:rPr>
        <w:t xml:space="preserve">a suitable and </w:t>
      </w:r>
      <w:r w:rsidR="008749DC" w:rsidRPr="009E0B59">
        <w:rPr>
          <w:rFonts w:cs="Calibri"/>
          <w:color w:val="000000"/>
        </w:rPr>
        <w:t>consistent approach.</w:t>
      </w:r>
    </w:p>
    <w:p w14:paraId="1DB7ADDC" w14:textId="77777777" w:rsidR="009E0B59" w:rsidRDefault="009E0B59" w:rsidP="00E64B2D">
      <w:pPr>
        <w:autoSpaceDE w:val="0"/>
        <w:autoSpaceDN w:val="0"/>
        <w:adjustRightInd w:val="0"/>
        <w:spacing w:after="0" w:line="240" w:lineRule="auto"/>
        <w:jc w:val="both"/>
        <w:rPr>
          <w:rFonts w:cs="Calibri"/>
          <w:color w:val="000000"/>
        </w:rPr>
      </w:pPr>
    </w:p>
    <w:p w14:paraId="0D790E22" w14:textId="4B1F9A0B" w:rsidR="00E37603" w:rsidRPr="009E0B59" w:rsidRDefault="009E0B59" w:rsidP="00E64B2D">
      <w:pPr>
        <w:autoSpaceDE w:val="0"/>
        <w:autoSpaceDN w:val="0"/>
        <w:adjustRightInd w:val="0"/>
        <w:spacing w:after="0" w:line="240" w:lineRule="auto"/>
        <w:jc w:val="both"/>
        <w:rPr>
          <w:rFonts w:cs="Calibri"/>
          <w:color w:val="000000"/>
        </w:rPr>
      </w:pPr>
      <w:r>
        <w:rPr>
          <w:rFonts w:cs="Calibri"/>
          <w:color w:val="000000"/>
        </w:rPr>
        <w:t>In addition, consideration of w</w:t>
      </w:r>
      <w:r w:rsidRPr="009E0B59">
        <w:rPr>
          <w:rFonts w:cs="Calibri"/>
          <w:color w:val="000000"/>
        </w:rPr>
        <w:t xml:space="preserve">hether a larger scale overhaul of </w:t>
      </w:r>
      <w:r>
        <w:rPr>
          <w:rFonts w:cs="Calibri"/>
          <w:color w:val="000000"/>
        </w:rPr>
        <w:t xml:space="preserve">the </w:t>
      </w:r>
      <w:r w:rsidRPr="009E0B59">
        <w:rPr>
          <w:rFonts w:cs="Calibri"/>
          <w:color w:val="000000"/>
        </w:rPr>
        <w:t>governance of DER technical standards</w:t>
      </w:r>
      <w:r>
        <w:rPr>
          <w:rFonts w:cs="Calibri"/>
          <w:color w:val="000000"/>
        </w:rPr>
        <w:t xml:space="preserve"> is needed</w:t>
      </w:r>
      <w:r w:rsidRPr="009E0B59">
        <w:rPr>
          <w:rFonts w:cs="Calibri"/>
          <w:color w:val="000000"/>
        </w:rPr>
        <w:t xml:space="preserve"> in the future</w:t>
      </w:r>
      <w:r>
        <w:rPr>
          <w:rFonts w:cs="Calibri"/>
          <w:color w:val="000000"/>
        </w:rPr>
        <w:t xml:space="preserve"> should be kept on the agenda. </w:t>
      </w:r>
    </w:p>
    <w:p w14:paraId="7B7D644B" w14:textId="6A20C181" w:rsidR="00E37603" w:rsidRDefault="00E37603" w:rsidP="00E64B2D">
      <w:pPr>
        <w:autoSpaceDE w:val="0"/>
        <w:autoSpaceDN w:val="0"/>
        <w:adjustRightInd w:val="0"/>
        <w:spacing w:after="0" w:line="240" w:lineRule="auto"/>
        <w:jc w:val="both"/>
        <w:rPr>
          <w:rFonts w:cs="Calibri"/>
          <w:color w:val="000000"/>
        </w:rPr>
      </w:pPr>
    </w:p>
    <w:p w14:paraId="08B7BEC0" w14:textId="2B16F130" w:rsidR="00B65B1F" w:rsidRPr="00754720" w:rsidRDefault="00B65B1F" w:rsidP="00E64B2D">
      <w:pPr>
        <w:autoSpaceDE w:val="0"/>
        <w:autoSpaceDN w:val="0"/>
        <w:adjustRightInd w:val="0"/>
        <w:spacing w:after="0" w:line="240" w:lineRule="auto"/>
        <w:jc w:val="both"/>
        <w:rPr>
          <w:rFonts w:ascii="Times New Roman" w:hAnsi="Times New Roman"/>
          <w:sz w:val="24"/>
          <w:szCs w:val="24"/>
        </w:rPr>
      </w:pPr>
      <w:r w:rsidRPr="00754720">
        <w:rPr>
          <w:rFonts w:cs="Calibri"/>
          <w:b/>
          <w:bCs/>
          <w:color w:val="000000"/>
        </w:rPr>
        <w:t>Question 2. Do you support the DER Standards Governance Committee being advisory or determining? Please provide reasons</w:t>
      </w:r>
      <w:r w:rsidRPr="00754720">
        <w:rPr>
          <w:rFonts w:ascii="Calibri" w:hAnsi="Calibri" w:cs="Calibri"/>
          <w:color w:val="000000"/>
        </w:rPr>
        <w:t>.</w:t>
      </w:r>
    </w:p>
    <w:p w14:paraId="05AC57B2" w14:textId="0C1D8B71" w:rsidR="00B65B1F" w:rsidRPr="00E37603" w:rsidRDefault="00B65B1F" w:rsidP="00E64B2D">
      <w:pPr>
        <w:autoSpaceDE w:val="0"/>
        <w:autoSpaceDN w:val="0"/>
        <w:adjustRightInd w:val="0"/>
        <w:spacing w:after="0" w:line="240" w:lineRule="auto"/>
        <w:jc w:val="both"/>
        <w:rPr>
          <w:rFonts w:cs="Calibri"/>
          <w:color w:val="000000"/>
        </w:rPr>
      </w:pPr>
    </w:p>
    <w:p w14:paraId="2768A019" w14:textId="25DC1EB0" w:rsidR="009E0B59" w:rsidRDefault="009E0B59" w:rsidP="00E64B2D">
      <w:pPr>
        <w:spacing w:after="0" w:line="240" w:lineRule="auto"/>
        <w:jc w:val="both"/>
      </w:pPr>
      <w:r>
        <w:t xml:space="preserve">We </w:t>
      </w:r>
      <w:r w:rsidR="008F5EF7">
        <w:t>agree</w:t>
      </w:r>
      <w:r>
        <w:t xml:space="preserve"> that the AEMC is best placed to be the over-arching rule maker in the NEM to</w:t>
      </w:r>
    </w:p>
    <w:p w14:paraId="4EA391CE" w14:textId="6CA7A61A" w:rsidR="00D64F72" w:rsidRPr="008F18DC" w:rsidRDefault="009E0B59" w:rsidP="00E64B2D">
      <w:pPr>
        <w:spacing w:after="0" w:line="240" w:lineRule="auto"/>
        <w:jc w:val="both"/>
      </w:pPr>
      <w:r>
        <w:t>convene the Committee</w:t>
      </w:r>
      <w:r w:rsidR="008F5EF7">
        <w:t>, and a</w:t>
      </w:r>
      <w:r w:rsidR="00F4681D">
        <w:t xml:space="preserve">s </w:t>
      </w:r>
      <w:r w:rsidR="00F4681D" w:rsidRPr="008F18DC">
        <w:t>t</w:t>
      </w:r>
      <w:r w:rsidRPr="008F18DC">
        <w:t>here will be b</w:t>
      </w:r>
      <w:r w:rsidR="00F4681D" w:rsidRPr="008F18DC">
        <w:t>roa</w:t>
      </w:r>
      <w:r w:rsidRPr="008F18DC">
        <w:t>d objectives</w:t>
      </w:r>
      <w:r w:rsidR="00F4681D" w:rsidRPr="008F18DC">
        <w:t xml:space="preserve"> and wide-ranging impacts to consider</w:t>
      </w:r>
      <w:r w:rsidR="003A77BB">
        <w:t>,</w:t>
      </w:r>
      <w:r w:rsidR="00F4681D" w:rsidRPr="008F18DC">
        <w:t xml:space="preserve"> we believe the AEMC should have statutory responsibility for making decisions on DER technical standards as advised by the Committee</w:t>
      </w:r>
      <w:r w:rsidR="008F5EF7">
        <w:t>, at least in the initial stages of developing the governance framework.</w:t>
      </w:r>
    </w:p>
    <w:p w14:paraId="1766F1F7" w14:textId="77777777" w:rsidR="008F18DC" w:rsidRPr="008F18DC" w:rsidRDefault="008F18DC" w:rsidP="00E64B2D">
      <w:pPr>
        <w:spacing w:after="0" w:line="240" w:lineRule="auto"/>
        <w:jc w:val="both"/>
      </w:pPr>
    </w:p>
    <w:p w14:paraId="06E2FCB0" w14:textId="2863E309" w:rsidR="008F18DC" w:rsidRPr="008F18DC" w:rsidRDefault="008F18DC" w:rsidP="00E64B2D">
      <w:pPr>
        <w:autoSpaceDE w:val="0"/>
        <w:autoSpaceDN w:val="0"/>
        <w:adjustRightInd w:val="0"/>
        <w:spacing w:after="0" w:line="240" w:lineRule="auto"/>
        <w:jc w:val="both"/>
        <w:rPr>
          <w:rFonts w:cs="Calibri"/>
          <w:color w:val="000000"/>
        </w:rPr>
      </w:pPr>
      <w:r w:rsidRPr="008F18DC">
        <w:t>As noted in the</w:t>
      </w:r>
      <w:r w:rsidR="00441995">
        <w:t xml:space="preserve"> ESB</w:t>
      </w:r>
      <w:r w:rsidRPr="008F18DC">
        <w:t xml:space="preserve"> Consultation Paper, </w:t>
      </w:r>
      <w:r w:rsidRPr="008F18DC">
        <w:rPr>
          <w:rFonts w:cs="Calibri"/>
          <w:color w:val="000000"/>
        </w:rPr>
        <w:t>it is important that a broad range of stakeholders have confidence that the governance arrangements take full account of stakeholders’ views.</w:t>
      </w:r>
      <w:r w:rsidRPr="008F18DC">
        <w:t xml:space="preserve"> Our experience is that the AEMC’s </w:t>
      </w:r>
      <w:r w:rsidRPr="008F18DC">
        <w:rPr>
          <w:rFonts w:cs="Calibri"/>
          <w:color w:val="000000"/>
        </w:rPr>
        <w:t xml:space="preserve">rule change and stakeholder engagement process is, on the whole, thorough and effective. </w:t>
      </w:r>
    </w:p>
    <w:p w14:paraId="57813F5F" w14:textId="77777777" w:rsidR="008F18DC" w:rsidRPr="008F18DC" w:rsidRDefault="008F18DC" w:rsidP="00E64B2D">
      <w:pPr>
        <w:autoSpaceDE w:val="0"/>
        <w:autoSpaceDN w:val="0"/>
        <w:adjustRightInd w:val="0"/>
        <w:spacing w:after="0" w:line="240" w:lineRule="auto"/>
        <w:jc w:val="both"/>
        <w:rPr>
          <w:rFonts w:cs="Calibri"/>
          <w:color w:val="000000"/>
        </w:rPr>
      </w:pPr>
    </w:p>
    <w:p w14:paraId="318A7072" w14:textId="7E95B19A" w:rsidR="008F18DC" w:rsidRPr="00444FD5" w:rsidRDefault="003A77BB" w:rsidP="00E64B2D">
      <w:pPr>
        <w:spacing w:after="0" w:line="240" w:lineRule="auto"/>
        <w:jc w:val="both"/>
      </w:pPr>
      <w:r>
        <w:rPr>
          <w:rFonts w:cs="Calibri"/>
          <w:color w:val="000000"/>
        </w:rPr>
        <w:t>The Committee could still obtain technical expertise as needed and w</w:t>
      </w:r>
      <w:r w:rsidR="008F18DC">
        <w:rPr>
          <w:rFonts w:cs="Calibri"/>
          <w:color w:val="000000"/>
        </w:rPr>
        <w:t xml:space="preserve">e don’t think the </w:t>
      </w:r>
      <w:r w:rsidR="00441995">
        <w:rPr>
          <w:rFonts w:cs="Calibri"/>
          <w:color w:val="000000"/>
        </w:rPr>
        <w:t>Committee’s ability to</w:t>
      </w:r>
      <w:r w:rsidR="008F18DC">
        <w:rPr>
          <w:rFonts w:cs="Calibri"/>
          <w:color w:val="000000"/>
        </w:rPr>
        <w:t xml:space="preserve"> address </w:t>
      </w:r>
      <w:r w:rsidR="008F18DC" w:rsidRPr="008F18DC">
        <w:rPr>
          <w:rFonts w:cs="Calibri"/>
          <w:color w:val="000000"/>
        </w:rPr>
        <w:t xml:space="preserve">issues </w:t>
      </w:r>
      <w:r w:rsidR="008F18DC">
        <w:rPr>
          <w:rFonts w:cs="Calibri"/>
          <w:color w:val="000000"/>
        </w:rPr>
        <w:t>i</w:t>
      </w:r>
      <w:r w:rsidR="008F18DC" w:rsidRPr="008F18DC">
        <w:rPr>
          <w:rFonts w:cs="Calibri"/>
          <w:color w:val="000000"/>
        </w:rPr>
        <w:t>n a timely manner</w:t>
      </w:r>
      <w:r w:rsidR="008F18DC">
        <w:rPr>
          <w:rFonts w:cs="Calibri"/>
          <w:color w:val="000000"/>
        </w:rPr>
        <w:t xml:space="preserve"> would be hampered by this approach</w:t>
      </w:r>
      <w:r>
        <w:rPr>
          <w:rFonts w:cs="Calibri"/>
          <w:color w:val="000000"/>
        </w:rPr>
        <w:t>.</w:t>
      </w:r>
      <w:r w:rsidR="008F18DC">
        <w:rPr>
          <w:rFonts w:cs="Calibri"/>
          <w:color w:val="000000"/>
        </w:rPr>
        <w:t xml:space="preserve"> </w:t>
      </w:r>
      <w:r>
        <w:rPr>
          <w:rFonts w:cs="Calibri"/>
          <w:color w:val="000000"/>
        </w:rPr>
        <w:t>T</w:t>
      </w:r>
      <w:r w:rsidR="008F18DC" w:rsidRPr="008F18DC">
        <w:t xml:space="preserve">he timeframe for a standard rule change process is </w:t>
      </w:r>
      <w:r w:rsidR="008F18DC" w:rsidRPr="00886677">
        <w:t>approximately 6 months and the AMEC can expedite the rule making process if the request is for a non-controversial or urgent rule.</w:t>
      </w:r>
      <w:r w:rsidR="001A3CB5">
        <w:rPr>
          <w:rStyle w:val="FootnoteReference"/>
        </w:rPr>
        <w:footnoteReference w:id="4"/>
      </w:r>
      <w:r w:rsidR="008F5EF7">
        <w:t xml:space="preserve"> A similar process could be established for updates to a </w:t>
      </w:r>
      <w:r w:rsidR="008F5EF7" w:rsidRPr="005B7F7C">
        <w:rPr>
          <w:rFonts w:cs="Calibri"/>
        </w:rPr>
        <w:t>subsidiary instrument</w:t>
      </w:r>
      <w:r w:rsidR="008F5EF7">
        <w:rPr>
          <w:rFonts w:cs="Calibri"/>
        </w:rPr>
        <w:t>.</w:t>
      </w:r>
    </w:p>
    <w:p w14:paraId="3E2DEA08" w14:textId="77777777" w:rsidR="003A77BB" w:rsidRPr="00886677" w:rsidRDefault="003A77BB" w:rsidP="00E64B2D">
      <w:pPr>
        <w:spacing w:after="0" w:line="240" w:lineRule="auto"/>
        <w:jc w:val="both"/>
        <w:rPr>
          <w:rFonts w:cs="Calibri"/>
          <w:color w:val="000000"/>
        </w:rPr>
      </w:pPr>
    </w:p>
    <w:p w14:paraId="357DC370" w14:textId="3C694D54" w:rsidR="00886677" w:rsidRPr="00754720" w:rsidRDefault="00886677" w:rsidP="00E64B2D">
      <w:pPr>
        <w:autoSpaceDE w:val="0"/>
        <w:autoSpaceDN w:val="0"/>
        <w:adjustRightInd w:val="0"/>
        <w:spacing w:after="0" w:line="240" w:lineRule="auto"/>
        <w:jc w:val="both"/>
        <w:rPr>
          <w:rFonts w:cs="Calibri"/>
          <w:b/>
          <w:bCs/>
          <w:color w:val="000000"/>
        </w:rPr>
      </w:pPr>
      <w:r w:rsidRPr="00754720">
        <w:rPr>
          <w:rFonts w:cs="Calibri"/>
          <w:b/>
          <w:bCs/>
          <w:color w:val="000000"/>
        </w:rPr>
        <w:t>Question 3. Do you have any feedback on the proposed functions of the DER Standards Governance Committee?</w:t>
      </w:r>
    </w:p>
    <w:p w14:paraId="1F9FB081" w14:textId="0DDCBA42" w:rsidR="00886677" w:rsidRDefault="00886677" w:rsidP="00E64B2D">
      <w:pPr>
        <w:autoSpaceDE w:val="0"/>
        <w:autoSpaceDN w:val="0"/>
        <w:adjustRightInd w:val="0"/>
        <w:spacing w:after="0" w:line="240" w:lineRule="auto"/>
        <w:jc w:val="both"/>
      </w:pPr>
    </w:p>
    <w:p w14:paraId="10B004B3" w14:textId="7A381007" w:rsidR="00886677" w:rsidRDefault="005B7F7C" w:rsidP="00E64B2D">
      <w:pPr>
        <w:autoSpaceDE w:val="0"/>
        <w:autoSpaceDN w:val="0"/>
        <w:adjustRightInd w:val="0"/>
        <w:spacing w:after="0" w:line="240" w:lineRule="auto"/>
        <w:jc w:val="both"/>
      </w:pPr>
      <w:r>
        <w:t xml:space="preserve">Subject to our response to Question 2, </w:t>
      </w:r>
      <w:r w:rsidR="003A77BB">
        <w:t xml:space="preserve">we support the proposed functions of the Committee in terms of </w:t>
      </w:r>
      <w:r>
        <w:t>establishing a strategic vision for DER technical standards development</w:t>
      </w:r>
      <w:r w:rsidR="003A77BB">
        <w:t>, prioritisation and work program development.</w:t>
      </w:r>
    </w:p>
    <w:p w14:paraId="51A6FA4A" w14:textId="77777777" w:rsidR="005B7F7C" w:rsidRPr="00886677" w:rsidRDefault="005B7F7C" w:rsidP="00E64B2D">
      <w:pPr>
        <w:autoSpaceDE w:val="0"/>
        <w:autoSpaceDN w:val="0"/>
        <w:adjustRightInd w:val="0"/>
        <w:spacing w:after="0" w:line="240" w:lineRule="auto"/>
        <w:jc w:val="both"/>
      </w:pPr>
    </w:p>
    <w:p w14:paraId="42C73757" w14:textId="2E9D0468" w:rsidR="00886677" w:rsidRPr="005B7F7C" w:rsidRDefault="00886677" w:rsidP="00E64B2D">
      <w:pPr>
        <w:autoSpaceDE w:val="0"/>
        <w:autoSpaceDN w:val="0"/>
        <w:adjustRightInd w:val="0"/>
        <w:spacing w:after="0" w:line="240" w:lineRule="auto"/>
        <w:jc w:val="both"/>
        <w:rPr>
          <w:rFonts w:cs="Calibri"/>
          <w:b/>
          <w:bCs/>
          <w:color w:val="000000"/>
        </w:rPr>
      </w:pPr>
      <w:r w:rsidRPr="005B7F7C">
        <w:rPr>
          <w:rFonts w:cs="Calibri"/>
          <w:b/>
          <w:bCs/>
          <w:color w:val="000000"/>
        </w:rPr>
        <w:t>Question 4. Do you have any feedback about the Committee determining standards in a subsidiary instrument under the rules?</w:t>
      </w:r>
    </w:p>
    <w:p w14:paraId="40241471" w14:textId="4E006618" w:rsidR="00886677" w:rsidRDefault="00886677" w:rsidP="00E64B2D">
      <w:pPr>
        <w:autoSpaceDE w:val="0"/>
        <w:autoSpaceDN w:val="0"/>
        <w:adjustRightInd w:val="0"/>
        <w:spacing w:after="0" w:line="240" w:lineRule="auto"/>
        <w:jc w:val="both"/>
        <w:rPr>
          <w:rFonts w:cs="Calibri"/>
          <w:color w:val="000000"/>
        </w:rPr>
      </w:pPr>
    </w:p>
    <w:p w14:paraId="005992FF" w14:textId="0DB27420" w:rsidR="005B7F7C" w:rsidRPr="008F5EF7" w:rsidRDefault="005B7F7C" w:rsidP="00E64B2D">
      <w:pPr>
        <w:autoSpaceDE w:val="0"/>
        <w:autoSpaceDN w:val="0"/>
        <w:adjustRightInd w:val="0"/>
        <w:spacing w:after="0" w:line="240" w:lineRule="auto"/>
        <w:jc w:val="both"/>
      </w:pPr>
      <w:r w:rsidRPr="005B7F7C">
        <w:rPr>
          <w:rFonts w:cs="Calibri"/>
        </w:rPr>
        <w:t xml:space="preserve">In line with our response to Question 2, we submit that the standards be located </w:t>
      </w:r>
      <w:r w:rsidR="003A77BB">
        <w:rPr>
          <w:rFonts w:cs="Calibri"/>
        </w:rPr>
        <w:t xml:space="preserve">in </w:t>
      </w:r>
      <w:r w:rsidRPr="005B7F7C">
        <w:rPr>
          <w:rFonts w:cs="Calibri"/>
        </w:rPr>
        <w:t>a subsidiary instrument under the rules and updated by the AEMC on the advice of the Committee.</w:t>
      </w:r>
      <w:r w:rsidR="008F5EF7">
        <w:rPr>
          <w:rFonts w:cs="Calibri"/>
        </w:rPr>
        <w:t xml:space="preserve"> </w:t>
      </w:r>
      <w:r w:rsidR="008F5EF7">
        <w:rPr>
          <w:rFonts w:cs="Calibri"/>
          <w:color w:val="000000"/>
        </w:rPr>
        <w:t>A</w:t>
      </w:r>
      <w:r w:rsidR="008F5EF7" w:rsidRPr="008F5EF7">
        <w:rPr>
          <w:rFonts w:cs="Calibri"/>
          <w:color w:val="000000"/>
        </w:rPr>
        <w:t xml:space="preserve">n interim </w:t>
      </w:r>
      <w:r w:rsidR="001A3CB5">
        <w:rPr>
          <w:rFonts w:cs="Calibri"/>
          <w:color w:val="000000"/>
        </w:rPr>
        <w:t>g</w:t>
      </w:r>
      <w:r w:rsidR="008F5EF7" w:rsidRPr="008F5EF7">
        <w:rPr>
          <w:rFonts w:cs="Calibri"/>
          <w:color w:val="000000"/>
        </w:rPr>
        <w:t xml:space="preserve">uidelines phase </w:t>
      </w:r>
      <w:r w:rsidR="008F5EF7">
        <w:rPr>
          <w:rFonts w:cs="Calibri"/>
          <w:color w:val="000000"/>
        </w:rPr>
        <w:t xml:space="preserve">to </w:t>
      </w:r>
      <w:r w:rsidR="008F5EF7" w:rsidRPr="008F5EF7">
        <w:rPr>
          <w:rFonts w:cs="Calibri"/>
          <w:color w:val="000000"/>
        </w:rPr>
        <w:t>trial new standards and prevent lock-in of existing approaches as technologies develop</w:t>
      </w:r>
      <w:r w:rsidR="008F5EF7">
        <w:rPr>
          <w:rFonts w:cs="Calibri"/>
          <w:color w:val="000000"/>
        </w:rPr>
        <w:t xml:space="preserve"> would </w:t>
      </w:r>
      <w:r w:rsidR="001A3CB5">
        <w:rPr>
          <w:rFonts w:cs="Calibri"/>
          <w:color w:val="000000"/>
        </w:rPr>
        <w:t xml:space="preserve">also </w:t>
      </w:r>
      <w:r w:rsidR="008F5EF7">
        <w:rPr>
          <w:rFonts w:cs="Calibri"/>
          <w:color w:val="000000"/>
        </w:rPr>
        <w:t>be beneficial.</w:t>
      </w:r>
    </w:p>
    <w:p w14:paraId="5FB21698" w14:textId="77777777" w:rsidR="00886677" w:rsidRPr="00886677" w:rsidRDefault="00886677" w:rsidP="00E64B2D">
      <w:pPr>
        <w:autoSpaceDE w:val="0"/>
        <w:autoSpaceDN w:val="0"/>
        <w:adjustRightInd w:val="0"/>
        <w:spacing w:after="0" w:line="240" w:lineRule="auto"/>
        <w:jc w:val="both"/>
        <w:rPr>
          <w:rFonts w:cs="Calibri"/>
          <w:color w:val="000000"/>
        </w:rPr>
      </w:pPr>
    </w:p>
    <w:p w14:paraId="171C7B90" w14:textId="4A22344A" w:rsidR="00475E5E" w:rsidRPr="00E430B9" w:rsidRDefault="00886677" w:rsidP="00E64B2D">
      <w:pPr>
        <w:autoSpaceDE w:val="0"/>
        <w:autoSpaceDN w:val="0"/>
        <w:adjustRightInd w:val="0"/>
        <w:spacing w:after="0" w:line="240" w:lineRule="auto"/>
        <w:jc w:val="both"/>
        <w:rPr>
          <w:rFonts w:cs="Calibri"/>
          <w:b/>
          <w:bCs/>
          <w:color w:val="000000"/>
        </w:rPr>
      </w:pPr>
      <w:r w:rsidRPr="00E430B9">
        <w:rPr>
          <w:rFonts w:cs="Calibri"/>
          <w:b/>
          <w:bCs/>
          <w:color w:val="000000"/>
        </w:rPr>
        <w:t>Question 5. Do you have any feedback on the development of new compliance and enforcement arrangements for DER technical standards?</w:t>
      </w:r>
    </w:p>
    <w:p w14:paraId="4B863B79" w14:textId="4E19AD85" w:rsidR="00886677" w:rsidRDefault="00886677" w:rsidP="00E64B2D">
      <w:pPr>
        <w:autoSpaceDE w:val="0"/>
        <w:autoSpaceDN w:val="0"/>
        <w:adjustRightInd w:val="0"/>
        <w:spacing w:after="0" w:line="240" w:lineRule="auto"/>
        <w:jc w:val="both"/>
      </w:pPr>
    </w:p>
    <w:p w14:paraId="71E7F1C2" w14:textId="76261C95" w:rsidR="00F40DF9" w:rsidRPr="000E4297" w:rsidRDefault="00F40DF9" w:rsidP="00E64B2D">
      <w:pPr>
        <w:autoSpaceDE w:val="0"/>
        <w:autoSpaceDN w:val="0"/>
        <w:adjustRightInd w:val="0"/>
        <w:spacing w:after="0" w:line="240" w:lineRule="auto"/>
        <w:jc w:val="both"/>
        <w:rPr>
          <w:rFonts w:cs="Calibri"/>
          <w:color w:val="000000"/>
        </w:rPr>
      </w:pPr>
      <w:r w:rsidRPr="000E4297">
        <w:t>If it is intended that the governance framework for DER technical standards will extend to DER assets within embedded networks</w:t>
      </w:r>
      <w:r w:rsidR="001A3CB5">
        <w:t>,</w:t>
      </w:r>
      <w:r w:rsidRPr="000E4297">
        <w:t xml:space="preserve"> then the development of new compliance and enforcement arrangements will need to take proper account of how these private networks operate. In</w:t>
      </w:r>
      <w:r w:rsidRPr="000E4297">
        <w:rPr>
          <w:rFonts w:cs="Calibri"/>
          <w:color w:val="000000"/>
        </w:rPr>
        <w:t xml:space="preserve"> </w:t>
      </w:r>
      <w:r w:rsidRPr="000E4297">
        <w:t xml:space="preserve">coordinating the </w:t>
      </w:r>
      <w:r w:rsidRPr="000E4297">
        <w:rPr>
          <w:rFonts w:cs="Calibri"/>
          <w:color w:val="000000"/>
        </w:rPr>
        <w:t>various processes</w:t>
      </w:r>
      <w:r w:rsidR="000E4297">
        <w:rPr>
          <w:rFonts w:cs="Calibri"/>
          <w:color w:val="000000"/>
        </w:rPr>
        <w:t xml:space="preserve">, </w:t>
      </w:r>
      <w:r w:rsidRPr="000E4297">
        <w:rPr>
          <w:rFonts w:cs="Calibri"/>
          <w:color w:val="000000"/>
        </w:rPr>
        <w:t>compliance instrument</w:t>
      </w:r>
      <w:r w:rsidR="000E4297">
        <w:rPr>
          <w:rFonts w:cs="Calibri"/>
          <w:color w:val="000000"/>
        </w:rPr>
        <w:t>s and identifying and addressing any gaps,</w:t>
      </w:r>
      <w:r w:rsidRPr="000E4297">
        <w:rPr>
          <w:rFonts w:cs="Calibri"/>
          <w:color w:val="000000"/>
        </w:rPr>
        <w:t xml:space="preserve"> the Committee w</w:t>
      </w:r>
      <w:r w:rsidR="000E4297">
        <w:rPr>
          <w:rFonts w:cs="Calibri"/>
          <w:color w:val="000000"/>
        </w:rPr>
        <w:t>ill</w:t>
      </w:r>
      <w:r w:rsidRPr="000E4297">
        <w:rPr>
          <w:rFonts w:cs="Calibri"/>
          <w:color w:val="000000"/>
        </w:rPr>
        <w:t xml:space="preserve"> also need to consider any</w:t>
      </w:r>
      <w:r w:rsidR="000E4297">
        <w:rPr>
          <w:rFonts w:cs="Calibri"/>
          <w:color w:val="000000"/>
        </w:rPr>
        <w:t xml:space="preserve"> regulatory controls</w:t>
      </w:r>
      <w:r w:rsidRPr="000E4297">
        <w:rPr>
          <w:rFonts w:cs="Calibri"/>
          <w:color w:val="000000"/>
        </w:rPr>
        <w:t xml:space="preserve"> that apply to the business model of the </w:t>
      </w:r>
      <w:r w:rsidR="001A3CB5">
        <w:rPr>
          <w:rFonts w:cs="Calibri"/>
          <w:color w:val="000000"/>
        </w:rPr>
        <w:t xml:space="preserve">exempt </w:t>
      </w:r>
      <w:r w:rsidRPr="000E4297">
        <w:rPr>
          <w:rFonts w:cs="Calibri"/>
          <w:color w:val="000000"/>
        </w:rPr>
        <w:t xml:space="preserve">embedded network service provider. </w:t>
      </w:r>
    </w:p>
    <w:p w14:paraId="6997087F" w14:textId="77777777" w:rsidR="00F40DF9" w:rsidRPr="00886677" w:rsidRDefault="00F40DF9" w:rsidP="00E64B2D">
      <w:pPr>
        <w:autoSpaceDE w:val="0"/>
        <w:autoSpaceDN w:val="0"/>
        <w:adjustRightInd w:val="0"/>
        <w:spacing w:after="0" w:line="240" w:lineRule="auto"/>
        <w:jc w:val="both"/>
      </w:pPr>
    </w:p>
    <w:p w14:paraId="0FECFD4E" w14:textId="2122D9C9" w:rsidR="00886677" w:rsidRPr="00E430B9" w:rsidRDefault="00886677" w:rsidP="00E64B2D">
      <w:pPr>
        <w:autoSpaceDE w:val="0"/>
        <w:autoSpaceDN w:val="0"/>
        <w:adjustRightInd w:val="0"/>
        <w:spacing w:after="0" w:line="240" w:lineRule="auto"/>
        <w:jc w:val="both"/>
        <w:rPr>
          <w:rFonts w:cs="Calibri"/>
          <w:b/>
          <w:bCs/>
          <w:color w:val="000000"/>
        </w:rPr>
      </w:pPr>
      <w:r w:rsidRPr="00E430B9">
        <w:rPr>
          <w:rFonts w:cs="Calibri"/>
          <w:b/>
          <w:bCs/>
          <w:color w:val="000000"/>
        </w:rPr>
        <w:t>Question 6. Do you support the proposed composition of the membership and nature of chair of the Committee? Please provide reasons or nominate alternative arrangements.</w:t>
      </w:r>
    </w:p>
    <w:p w14:paraId="7C456763" w14:textId="2CA7578D" w:rsidR="00886677" w:rsidRDefault="00886677" w:rsidP="00E64B2D">
      <w:pPr>
        <w:autoSpaceDE w:val="0"/>
        <w:autoSpaceDN w:val="0"/>
        <w:adjustRightInd w:val="0"/>
        <w:spacing w:after="0" w:line="240" w:lineRule="auto"/>
        <w:jc w:val="both"/>
      </w:pPr>
    </w:p>
    <w:p w14:paraId="1FFAB9D2" w14:textId="2AD31E9B" w:rsidR="00740EF2" w:rsidRDefault="00D859C8" w:rsidP="00E64B2D">
      <w:pPr>
        <w:autoSpaceDE w:val="0"/>
        <w:autoSpaceDN w:val="0"/>
        <w:adjustRightInd w:val="0"/>
        <w:spacing w:after="0" w:line="240" w:lineRule="auto"/>
        <w:jc w:val="both"/>
      </w:pPr>
      <w:r>
        <w:t xml:space="preserve">The </w:t>
      </w:r>
      <w:r w:rsidR="000E4297">
        <w:t xml:space="preserve">proposal that </w:t>
      </w:r>
      <w:r>
        <w:t>the Committee</w:t>
      </w:r>
      <w:r w:rsidR="000E4297">
        <w:t xml:space="preserve"> be chaired by an independent DER expert with significant knowledge of and/or experience in developing and implementing DER standards and consumer outcomes, appear</w:t>
      </w:r>
      <w:r>
        <w:t>s suitable</w:t>
      </w:r>
      <w:r w:rsidR="00740EF2">
        <w:t>.</w:t>
      </w:r>
    </w:p>
    <w:p w14:paraId="4B0FD6F0" w14:textId="77777777" w:rsidR="00740EF2" w:rsidRDefault="00740EF2" w:rsidP="00E64B2D">
      <w:pPr>
        <w:autoSpaceDE w:val="0"/>
        <w:autoSpaceDN w:val="0"/>
        <w:adjustRightInd w:val="0"/>
        <w:spacing w:after="0" w:line="240" w:lineRule="auto"/>
        <w:jc w:val="both"/>
      </w:pPr>
    </w:p>
    <w:p w14:paraId="4B9C13FD" w14:textId="69A66AE1" w:rsidR="000E4297" w:rsidRPr="00740EF2" w:rsidRDefault="00740EF2" w:rsidP="00E64B2D">
      <w:pPr>
        <w:autoSpaceDE w:val="0"/>
        <w:autoSpaceDN w:val="0"/>
        <w:adjustRightInd w:val="0"/>
        <w:spacing w:after="0" w:line="240" w:lineRule="auto"/>
        <w:jc w:val="both"/>
      </w:pPr>
      <w:r w:rsidRPr="00740EF2">
        <w:t xml:space="preserve">In relation to </w:t>
      </w:r>
      <w:r w:rsidRPr="00740EF2">
        <w:rPr>
          <w:rFonts w:cs="Calibri"/>
          <w:color w:val="000000"/>
        </w:rPr>
        <w:t>the proposed composition of the membership</w:t>
      </w:r>
      <w:r w:rsidR="001A3CB5">
        <w:rPr>
          <w:rFonts w:cs="Calibri"/>
          <w:color w:val="000000"/>
        </w:rPr>
        <w:t xml:space="preserve"> of the Committee</w:t>
      </w:r>
      <w:r w:rsidRPr="00740EF2">
        <w:rPr>
          <w:rFonts w:cs="Calibri"/>
          <w:color w:val="000000"/>
        </w:rPr>
        <w:t>, p</w:t>
      </w:r>
      <w:r w:rsidRPr="00740EF2">
        <w:t>lease refer to our response to Question 7</w:t>
      </w:r>
      <w:r>
        <w:t xml:space="preserve"> below.</w:t>
      </w:r>
    </w:p>
    <w:p w14:paraId="27023C59" w14:textId="77777777" w:rsidR="000E4297" w:rsidRPr="00886677" w:rsidRDefault="000E4297" w:rsidP="00E64B2D">
      <w:pPr>
        <w:autoSpaceDE w:val="0"/>
        <w:autoSpaceDN w:val="0"/>
        <w:adjustRightInd w:val="0"/>
        <w:spacing w:after="0" w:line="240" w:lineRule="auto"/>
        <w:jc w:val="both"/>
      </w:pPr>
    </w:p>
    <w:p w14:paraId="11BE421A" w14:textId="5824FAAC" w:rsidR="00886677" w:rsidRPr="00E430B9" w:rsidRDefault="00886677" w:rsidP="00E64B2D">
      <w:pPr>
        <w:autoSpaceDE w:val="0"/>
        <w:autoSpaceDN w:val="0"/>
        <w:adjustRightInd w:val="0"/>
        <w:spacing w:after="0" w:line="240" w:lineRule="auto"/>
        <w:jc w:val="both"/>
        <w:rPr>
          <w:rFonts w:cs="Calibri"/>
          <w:b/>
          <w:bCs/>
          <w:color w:val="000000"/>
        </w:rPr>
      </w:pPr>
      <w:r w:rsidRPr="00E430B9">
        <w:rPr>
          <w:rFonts w:cs="Calibri"/>
          <w:b/>
          <w:bCs/>
          <w:color w:val="000000"/>
        </w:rPr>
        <w:t>Question 7. Do you support the proposed terms and selection arrangements? Please provide reasons.</w:t>
      </w:r>
    </w:p>
    <w:p w14:paraId="1D87B389" w14:textId="77777777" w:rsidR="00740EF2" w:rsidRDefault="00740EF2" w:rsidP="00E64B2D">
      <w:pPr>
        <w:autoSpaceDE w:val="0"/>
        <w:autoSpaceDN w:val="0"/>
        <w:adjustRightInd w:val="0"/>
        <w:spacing w:after="0" w:line="240" w:lineRule="auto"/>
        <w:jc w:val="both"/>
        <w:rPr>
          <w:rFonts w:cs="Calibri"/>
          <w:color w:val="000000"/>
        </w:rPr>
      </w:pPr>
    </w:p>
    <w:p w14:paraId="3D751B6A" w14:textId="1EAE1859" w:rsidR="00740EF2" w:rsidRDefault="00740EF2" w:rsidP="00E64B2D">
      <w:pPr>
        <w:autoSpaceDE w:val="0"/>
        <w:autoSpaceDN w:val="0"/>
        <w:adjustRightInd w:val="0"/>
        <w:spacing w:after="0" w:line="240" w:lineRule="auto"/>
        <w:jc w:val="both"/>
      </w:pPr>
      <w:r>
        <w:rPr>
          <w:rFonts w:cs="Calibri"/>
          <w:color w:val="000000"/>
        </w:rPr>
        <w:t xml:space="preserve">The </w:t>
      </w:r>
      <w:r>
        <w:t>proposal for co-chairs to be elected by the Committee to be responsible for specific tasks and to fill in for the Chair when necessary is considered appropriate, as is the proposal for the chair</w:t>
      </w:r>
      <w:r w:rsidR="004B42A4">
        <w:t>,</w:t>
      </w:r>
      <w:r>
        <w:t xml:space="preserve"> co-chairs</w:t>
      </w:r>
      <w:r w:rsidR="004B42A4">
        <w:t xml:space="preserve"> and members</w:t>
      </w:r>
      <w:r>
        <w:t xml:space="preserve"> to be appointed for a three year term (up to a maximum two full terms in that capacity).</w:t>
      </w:r>
    </w:p>
    <w:p w14:paraId="1AA33B5F" w14:textId="77777777" w:rsidR="00740EF2" w:rsidRDefault="00740EF2" w:rsidP="00E64B2D">
      <w:pPr>
        <w:autoSpaceDE w:val="0"/>
        <w:autoSpaceDN w:val="0"/>
        <w:adjustRightInd w:val="0"/>
        <w:spacing w:after="0" w:line="240" w:lineRule="auto"/>
        <w:jc w:val="both"/>
      </w:pPr>
    </w:p>
    <w:p w14:paraId="3D71FC54" w14:textId="582CEB51" w:rsidR="00C953A6" w:rsidRPr="00020D7A" w:rsidRDefault="001A3CB5" w:rsidP="00E64B2D">
      <w:pPr>
        <w:autoSpaceDE w:val="0"/>
        <w:autoSpaceDN w:val="0"/>
        <w:adjustRightInd w:val="0"/>
        <w:spacing w:after="0" w:line="240" w:lineRule="auto"/>
        <w:jc w:val="both"/>
        <w:rPr>
          <w:rFonts w:cs="Calibri"/>
          <w:color w:val="000000"/>
        </w:rPr>
      </w:pPr>
      <w:r>
        <w:t xml:space="preserve">In relation to </w:t>
      </w:r>
      <w:r w:rsidR="00740EF2">
        <w:t>membership, if</w:t>
      </w:r>
      <w:r w:rsidR="00740EF2" w:rsidRPr="000E4297">
        <w:t xml:space="preserve"> it is intended that the governance framework for DER technical standards will extend to DER assets within </w:t>
      </w:r>
      <w:r w:rsidR="00740EF2" w:rsidRPr="00C953A6">
        <w:t xml:space="preserve">embedded networks then there should also be a representative from </w:t>
      </w:r>
      <w:r w:rsidR="00740EF2" w:rsidRPr="00020D7A">
        <w:t xml:space="preserve">this sector, unless there would be </w:t>
      </w:r>
      <w:r w:rsidR="00020D7A">
        <w:t xml:space="preserve">adequate </w:t>
      </w:r>
      <w:r w:rsidR="00740EF2" w:rsidRPr="00020D7A">
        <w:t xml:space="preserve">representation by the proposed </w:t>
      </w:r>
      <w:r w:rsidR="00740EF2" w:rsidRPr="00020D7A">
        <w:rPr>
          <w:rFonts w:cs="Calibri"/>
          <w:color w:val="000000"/>
        </w:rPr>
        <w:t>“representative from non-NEM jurisdiction with DER expertise.”</w:t>
      </w:r>
    </w:p>
    <w:p w14:paraId="663ECE45" w14:textId="127C2B06" w:rsidR="00020D7A" w:rsidRPr="00020D7A" w:rsidRDefault="00020D7A" w:rsidP="00E64B2D">
      <w:pPr>
        <w:autoSpaceDE w:val="0"/>
        <w:autoSpaceDN w:val="0"/>
        <w:adjustRightInd w:val="0"/>
        <w:spacing w:after="0" w:line="240" w:lineRule="auto"/>
        <w:jc w:val="both"/>
        <w:rPr>
          <w:rFonts w:cs="Calibri"/>
          <w:color w:val="000000"/>
        </w:rPr>
      </w:pPr>
    </w:p>
    <w:p w14:paraId="408B459E" w14:textId="4E4C5D2A" w:rsidR="00020D7A" w:rsidRPr="00020D7A" w:rsidRDefault="00020D7A" w:rsidP="00E64B2D">
      <w:pPr>
        <w:autoSpaceDE w:val="0"/>
        <w:autoSpaceDN w:val="0"/>
        <w:adjustRightInd w:val="0"/>
        <w:spacing w:after="0" w:line="240" w:lineRule="auto"/>
        <w:jc w:val="both"/>
        <w:rPr>
          <w:rFonts w:cs="Calibri"/>
          <w:color w:val="000000"/>
        </w:rPr>
      </w:pPr>
      <w:r w:rsidRPr="00020D7A">
        <w:rPr>
          <w:rFonts w:cs="Calibri"/>
          <w:color w:val="000000"/>
        </w:rPr>
        <w:t xml:space="preserve">Selection through nomination and merit, based on expertise in DER technical standards, is </w:t>
      </w:r>
      <w:r>
        <w:rPr>
          <w:rFonts w:cs="Calibri"/>
          <w:color w:val="000000"/>
        </w:rPr>
        <w:t>appropriate</w:t>
      </w:r>
      <w:r w:rsidR="00E64B2D">
        <w:rPr>
          <w:rFonts w:cs="Calibri"/>
          <w:color w:val="000000"/>
        </w:rPr>
        <w:t xml:space="preserve"> and </w:t>
      </w:r>
      <w:r w:rsidR="00E64B2D">
        <w:t>we support the proposal that t</w:t>
      </w:r>
      <w:r w:rsidR="00E64B2D" w:rsidRPr="00020D7A">
        <w:t>he Committee be reviewed after three years of operation by an independent reviewer appointed</w:t>
      </w:r>
      <w:r w:rsidR="00E64B2D">
        <w:t xml:space="preserve"> </w:t>
      </w:r>
      <w:r w:rsidR="00E64B2D" w:rsidRPr="00020D7A">
        <w:t xml:space="preserve">by </w:t>
      </w:r>
      <w:r w:rsidR="00E64B2D">
        <w:t xml:space="preserve">the COAG Energy </w:t>
      </w:r>
      <w:r w:rsidR="00E64B2D" w:rsidRPr="00020D7A">
        <w:t>Council</w:t>
      </w:r>
      <w:r w:rsidR="001A3CB5">
        <w:t>.</w:t>
      </w:r>
    </w:p>
    <w:p w14:paraId="7C2DAAD5" w14:textId="77777777" w:rsidR="00886677" w:rsidRPr="00886677" w:rsidRDefault="00886677" w:rsidP="00E64B2D">
      <w:pPr>
        <w:autoSpaceDE w:val="0"/>
        <w:autoSpaceDN w:val="0"/>
        <w:adjustRightInd w:val="0"/>
        <w:spacing w:after="0" w:line="240" w:lineRule="auto"/>
        <w:jc w:val="both"/>
        <w:rPr>
          <w:rFonts w:cs="Calibri"/>
          <w:color w:val="000000"/>
        </w:rPr>
      </w:pPr>
    </w:p>
    <w:p w14:paraId="03E81530" w14:textId="794D48E7" w:rsidR="00886677" w:rsidRPr="00E430B9" w:rsidRDefault="00886677" w:rsidP="00E64B2D">
      <w:pPr>
        <w:spacing w:after="0" w:line="240" w:lineRule="auto"/>
        <w:jc w:val="both"/>
        <w:rPr>
          <w:rFonts w:cs="Calibri"/>
          <w:b/>
          <w:bCs/>
          <w:color w:val="000000"/>
        </w:rPr>
      </w:pPr>
      <w:r w:rsidRPr="00E430B9">
        <w:rPr>
          <w:rFonts w:cs="Calibri"/>
          <w:b/>
          <w:bCs/>
          <w:color w:val="000000"/>
        </w:rPr>
        <w:t>Question 8. Do you have any feedback on the other elements of the proposed operation of the Committee?</w:t>
      </w:r>
    </w:p>
    <w:p w14:paraId="7E7CB33E" w14:textId="10F53DF3" w:rsidR="00475E5E" w:rsidRDefault="00475E5E" w:rsidP="00E64B2D">
      <w:pPr>
        <w:spacing w:after="0" w:line="240" w:lineRule="auto"/>
        <w:jc w:val="both"/>
        <w:rPr>
          <w:rFonts w:cs="Calibri"/>
          <w:color w:val="000000"/>
        </w:rPr>
      </w:pPr>
    </w:p>
    <w:p w14:paraId="083ACF0F" w14:textId="144AEE06" w:rsidR="00020D7A" w:rsidRDefault="00020D7A" w:rsidP="00E64B2D">
      <w:pPr>
        <w:spacing w:after="0" w:line="240" w:lineRule="auto"/>
        <w:contextualSpacing/>
        <w:jc w:val="both"/>
      </w:pPr>
      <w:r>
        <w:t xml:space="preserve">We note a process will be established for stakeholders to propose new standards or changes to existing standards. </w:t>
      </w:r>
      <w:r w:rsidR="00E64B2D">
        <w:t xml:space="preserve">Clear instructions </w:t>
      </w:r>
      <w:r w:rsidR="001A3CB5">
        <w:t xml:space="preserve">for stakeholders </w:t>
      </w:r>
      <w:r w:rsidR="00E64B2D">
        <w:t xml:space="preserve">on information to be provided, criteria to be addressed and supporting guidelines (similar to the AEMC’s </w:t>
      </w:r>
      <w:r w:rsidR="00E64B2D" w:rsidRPr="00E64B2D">
        <w:t>rule change request</w:t>
      </w:r>
      <w:r w:rsidR="00E64B2D">
        <w:t xml:space="preserve"> process) would be beneficial.</w:t>
      </w:r>
    </w:p>
    <w:p w14:paraId="2853F99B" w14:textId="77777777" w:rsidR="00886677" w:rsidRPr="008B52DB" w:rsidRDefault="00886677" w:rsidP="00E64B2D">
      <w:pPr>
        <w:spacing w:after="0" w:line="240" w:lineRule="auto"/>
        <w:contextualSpacing/>
        <w:jc w:val="both"/>
      </w:pPr>
    </w:p>
    <w:p w14:paraId="302E4683" w14:textId="77777777" w:rsidR="00475E5E" w:rsidRPr="008B52DB" w:rsidRDefault="00475E5E" w:rsidP="00E64B2D">
      <w:pPr>
        <w:spacing w:after="0" w:line="240" w:lineRule="auto"/>
        <w:jc w:val="both"/>
      </w:pPr>
      <w:r w:rsidRPr="008B52DB">
        <w:t xml:space="preserve">Thank you for taking into consideration the issues we have raised. </w:t>
      </w:r>
    </w:p>
    <w:p w14:paraId="7A53E48E" w14:textId="77777777" w:rsidR="00475E5E" w:rsidRPr="008B52DB" w:rsidRDefault="00475E5E" w:rsidP="00E64B2D">
      <w:pPr>
        <w:spacing w:after="0" w:line="240" w:lineRule="auto"/>
        <w:jc w:val="both"/>
      </w:pPr>
    </w:p>
    <w:p w14:paraId="7F741B09" w14:textId="77777777" w:rsidR="00475E5E" w:rsidRPr="009479F3" w:rsidRDefault="00475E5E" w:rsidP="00E64B2D">
      <w:pPr>
        <w:spacing w:after="0" w:line="240" w:lineRule="auto"/>
        <w:jc w:val="both"/>
      </w:pPr>
      <w:r w:rsidRPr="008B52DB">
        <w:t xml:space="preserve">Should you have any questions for require further information please contact Shannon Lakic, Policy, Training and Executive Services Manager on (02) 9615 9940 or email </w:t>
      </w:r>
      <w:hyperlink r:id="rId10" w:history="1">
        <w:r w:rsidRPr="009479F3">
          <w:rPr>
            <w:rStyle w:val="Hyperlink"/>
          </w:rPr>
          <w:t>shannon.lakic@cciansw.com.au</w:t>
        </w:r>
      </w:hyperlink>
      <w:r w:rsidRPr="009479F3">
        <w:t>.</w:t>
      </w:r>
    </w:p>
    <w:p w14:paraId="243E276D" w14:textId="77777777" w:rsidR="00475E5E" w:rsidRPr="004F7A5C" w:rsidRDefault="00475E5E" w:rsidP="00475E5E">
      <w:pPr>
        <w:spacing w:after="0" w:line="240" w:lineRule="auto"/>
        <w:jc w:val="both"/>
      </w:pPr>
    </w:p>
    <w:p w14:paraId="7F7B3D83" w14:textId="0F2F3BA2" w:rsidR="00475E5E" w:rsidRPr="004F7A5C" w:rsidRDefault="00475E5E" w:rsidP="00475E5E">
      <w:pPr>
        <w:spacing w:after="0" w:line="240" w:lineRule="auto"/>
        <w:jc w:val="both"/>
      </w:pPr>
      <w:r w:rsidRPr="004F7A5C">
        <w:t>Yours sincerely</w:t>
      </w:r>
    </w:p>
    <w:p w14:paraId="35F3BE48" w14:textId="77777777" w:rsidR="00475E5E" w:rsidRPr="004F7A5C" w:rsidRDefault="00475E5E" w:rsidP="00475E5E">
      <w:pPr>
        <w:spacing w:after="0" w:line="240" w:lineRule="auto"/>
        <w:jc w:val="both"/>
      </w:pPr>
    </w:p>
    <w:p w14:paraId="36E80CCF" w14:textId="77777777" w:rsidR="00475E5E" w:rsidRPr="004F7A5C" w:rsidRDefault="00475E5E" w:rsidP="00475E5E">
      <w:pPr>
        <w:spacing w:after="0" w:line="240" w:lineRule="auto"/>
        <w:jc w:val="both"/>
      </w:pPr>
      <w:r w:rsidRPr="004F7A5C">
        <w:t>Lyndel Gray</w:t>
      </w:r>
    </w:p>
    <w:p w14:paraId="7F40218F" w14:textId="77777777" w:rsidR="00475E5E" w:rsidRPr="000F522A" w:rsidRDefault="00475E5E" w:rsidP="00475E5E">
      <w:pPr>
        <w:spacing w:after="0" w:line="240" w:lineRule="auto"/>
        <w:rPr>
          <w:b/>
        </w:rPr>
      </w:pPr>
      <w:r w:rsidRPr="004F7A5C">
        <w:rPr>
          <w:b/>
        </w:rPr>
        <w:t>Chief Executive Officer</w:t>
      </w:r>
    </w:p>
    <w:p w14:paraId="2B564076" w14:textId="77777777" w:rsidR="00475E5E" w:rsidRPr="00F4681D" w:rsidRDefault="00475E5E" w:rsidP="00475E5E">
      <w:pPr>
        <w:spacing w:after="0" w:line="240" w:lineRule="auto"/>
      </w:pPr>
    </w:p>
    <w:p w14:paraId="503A7947" w14:textId="433114E2" w:rsidR="00E37603" w:rsidRPr="00F4681D" w:rsidRDefault="00E37603" w:rsidP="00F4681D">
      <w:pPr>
        <w:spacing w:after="0" w:line="240" w:lineRule="auto"/>
      </w:pPr>
    </w:p>
    <w:sectPr w:rsidR="00E37603" w:rsidRPr="00F4681D" w:rsidSect="00754720">
      <w:footerReference w:type="defaul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CC49B4" w14:textId="77777777" w:rsidR="00967971" w:rsidRDefault="00967971" w:rsidP="00967971">
      <w:pPr>
        <w:spacing w:after="0" w:line="240" w:lineRule="auto"/>
      </w:pPr>
      <w:r>
        <w:separator/>
      </w:r>
    </w:p>
  </w:endnote>
  <w:endnote w:type="continuationSeparator" w:id="0">
    <w:p w14:paraId="7F95F697" w14:textId="77777777" w:rsidR="00967971" w:rsidRDefault="00967971" w:rsidP="00967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w:altName w:val="Arial"/>
    <w:panose1 w:val="020B0604020202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117371"/>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2E6BE59A" w14:textId="3E2E84BB" w:rsidR="001A3CB5" w:rsidRPr="001A3CB5" w:rsidRDefault="001A3CB5">
            <w:pPr>
              <w:pStyle w:val="Footer"/>
              <w:jc w:val="center"/>
              <w:rPr>
                <w:sz w:val="18"/>
                <w:szCs w:val="18"/>
              </w:rPr>
            </w:pPr>
            <w:r w:rsidRPr="001A3CB5">
              <w:rPr>
                <w:sz w:val="18"/>
                <w:szCs w:val="18"/>
              </w:rPr>
              <w:t xml:space="preserve">Page </w:t>
            </w:r>
            <w:r w:rsidRPr="001A3CB5">
              <w:rPr>
                <w:b/>
                <w:bCs/>
                <w:sz w:val="18"/>
                <w:szCs w:val="18"/>
              </w:rPr>
              <w:fldChar w:fldCharType="begin"/>
            </w:r>
            <w:r w:rsidRPr="001A3CB5">
              <w:rPr>
                <w:b/>
                <w:bCs/>
                <w:sz w:val="18"/>
                <w:szCs w:val="18"/>
              </w:rPr>
              <w:instrText xml:space="preserve"> PAGE </w:instrText>
            </w:r>
            <w:r w:rsidRPr="001A3CB5">
              <w:rPr>
                <w:b/>
                <w:bCs/>
                <w:sz w:val="18"/>
                <w:szCs w:val="18"/>
              </w:rPr>
              <w:fldChar w:fldCharType="separate"/>
            </w:r>
            <w:r w:rsidRPr="001A3CB5">
              <w:rPr>
                <w:b/>
                <w:bCs/>
                <w:noProof/>
                <w:sz w:val="18"/>
                <w:szCs w:val="18"/>
              </w:rPr>
              <w:t>2</w:t>
            </w:r>
            <w:r w:rsidRPr="001A3CB5">
              <w:rPr>
                <w:b/>
                <w:bCs/>
                <w:sz w:val="18"/>
                <w:szCs w:val="18"/>
              </w:rPr>
              <w:fldChar w:fldCharType="end"/>
            </w:r>
            <w:r w:rsidRPr="001A3CB5">
              <w:rPr>
                <w:sz w:val="18"/>
                <w:szCs w:val="18"/>
              </w:rPr>
              <w:t xml:space="preserve"> of </w:t>
            </w:r>
            <w:r w:rsidRPr="001A3CB5">
              <w:rPr>
                <w:b/>
                <w:bCs/>
                <w:sz w:val="18"/>
                <w:szCs w:val="18"/>
              </w:rPr>
              <w:fldChar w:fldCharType="begin"/>
            </w:r>
            <w:r w:rsidRPr="001A3CB5">
              <w:rPr>
                <w:b/>
                <w:bCs/>
                <w:sz w:val="18"/>
                <w:szCs w:val="18"/>
              </w:rPr>
              <w:instrText xml:space="preserve"> NUMPAGES  </w:instrText>
            </w:r>
            <w:r w:rsidRPr="001A3CB5">
              <w:rPr>
                <w:b/>
                <w:bCs/>
                <w:sz w:val="18"/>
                <w:szCs w:val="18"/>
              </w:rPr>
              <w:fldChar w:fldCharType="separate"/>
            </w:r>
            <w:r w:rsidRPr="001A3CB5">
              <w:rPr>
                <w:b/>
                <w:bCs/>
                <w:noProof/>
                <w:sz w:val="18"/>
                <w:szCs w:val="18"/>
              </w:rPr>
              <w:t>2</w:t>
            </w:r>
            <w:r w:rsidRPr="001A3CB5">
              <w:rPr>
                <w:b/>
                <w:bCs/>
                <w:sz w:val="18"/>
                <w:szCs w:val="18"/>
              </w:rPr>
              <w:fldChar w:fldCharType="end"/>
            </w:r>
          </w:p>
        </w:sdtContent>
      </w:sdt>
    </w:sdtContent>
  </w:sdt>
  <w:p w14:paraId="70DCA135" w14:textId="77777777" w:rsidR="001A3CB5" w:rsidRDefault="001A3C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E0270C" w14:textId="77777777" w:rsidR="00967971" w:rsidRDefault="00967971" w:rsidP="00967971">
      <w:pPr>
        <w:spacing w:after="0" w:line="240" w:lineRule="auto"/>
      </w:pPr>
      <w:r>
        <w:separator/>
      </w:r>
    </w:p>
  </w:footnote>
  <w:footnote w:type="continuationSeparator" w:id="0">
    <w:p w14:paraId="350C5BE7" w14:textId="77777777" w:rsidR="00967971" w:rsidRDefault="00967971" w:rsidP="00967971">
      <w:pPr>
        <w:spacing w:after="0" w:line="240" w:lineRule="auto"/>
      </w:pPr>
      <w:r>
        <w:continuationSeparator/>
      </w:r>
    </w:p>
  </w:footnote>
  <w:footnote w:id="1">
    <w:p w14:paraId="0ACA13F0" w14:textId="4E620530" w:rsidR="00967971" w:rsidRPr="00967971" w:rsidRDefault="00967971" w:rsidP="001A3CB5">
      <w:pPr>
        <w:pStyle w:val="FootnoteText"/>
        <w:jc w:val="both"/>
        <w:rPr>
          <w:i/>
          <w:iCs/>
          <w:sz w:val="18"/>
          <w:szCs w:val="18"/>
        </w:rPr>
      </w:pPr>
      <w:r w:rsidRPr="00967971">
        <w:rPr>
          <w:rStyle w:val="FootnoteReference"/>
          <w:i/>
          <w:iCs/>
          <w:sz w:val="18"/>
          <w:szCs w:val="18"/>
        </w:rPr>
        <w:footnoteRef/>
      </w:r>
      <w:r w:rsidRPr="00967971">
        <w:rPr>
          <w:i/>
          <w:iCs/>
          <w:sz w:val="18"/>
          <w:szCs w:val="18"/>
        </w:rPr>
        <w:t xml:space="preserve"> AEMC, Technical Standards for Distributed Energy Resources, Consultation Paper, 25 June 2020, p 14.</w:t>
      </w:r>
    </w:p>
  </w:footnote>
  <w:footnote w:id="2">
    <w:p w14:paraId="0E12E831" w14:textId="60CE8796" w:rsidR="00967971" w:rsidRPr="00967971" w:rsidRDefault="00967971" w:rsidP="001A3CB5">
      <w:pPr>
        <w:pStyle w:val="FootnoteText"/>
        <w:jc w:val="both"/>
        <w:rPr>
          <w:i/>
          <w:iCs/>
        </w:rPr>
      </w:pPr>
      <w:r w:rsidRPr="00967971">
        <w:rPr>
          <w:rStyle w:val="FootnoteReference"/>
          <w:i/>
          <w:iCs/>
          <w:sz w:val="18"/>
          <w:szCs w:val="18"/>
        </w:rPr>
        <w:footnoteRef/>
      </w:r>
      <w:r w:rsidRPr="00967971">
        <w:rPr>
          <w:i/>
          <w:iCs/>
          <w:sz w:val="18"/>
          <w:szCs w:val="18"/>
        </w:rPr>
        <w:t xml:space="preserve"> Ibid.</w:t>
      </w:r>
    </w:p>
  </w:footnote>
  <w:footnote w:id="3">
    <w:p w14:paraId="0BC41F6D" w14:textId="5CB04548" w:rsidR="004C0826" w:rsidRPr="004C0826" w:rsidRDefault="004C0826" w:rsidP="001A3CB5">
      <w:pPr>
        <w:pStyle w:val="FootnoteText"/>
        <w:jc w:val="both"/>
        <w:rPr>
          <w:i/>
          <w:iCs/>
        </w:rPr>
      </w:pPr>
      <w:r w:rsidRPr="004C0826">
        <w:rPr>
          <w:rStyle w:val="FootnoteReference"/>
          <w:i/>
          <w:iCs/>
        </w:rPr>
        <w:footnoteRef/>
      </w:r>
      <w:r w:rsidRPr="004C0826">
        <w:rPr>
          <w:i/>
          <w:iCs/>
        </w:rPr>
        <w:t xml:space="preserve"> Chapter 10, Glossary, National Electricity Rules, Version 145</w:t>
      </w:r>
      <w:r>
        <w:rPr>
          <w:i/>
          <w:iCs/>
        </w:rPr>
        <w:t>, p 1278.</w:t>
      </w:r>
    </w:p>
  </w:footnote>
  <w:footnote w:id="4">
    <w:p w14:paraId="4FCB4B1E" w14:textId="2404B14B" w:rsidR="001A3CB5" w:rsidRPr="001A3CB5" w:rsidRDefault="001A3CB5" w:rsidP="001A3CB5">
      <w:pPr>
        <w:pStyle w:val="FootnoteText"/>
        <w:jc w:val="both"/>
        <w:rPr>
          <w:i/>
          <w:iCs/>
        </w:rPr>
      </w:pPr>
      <w:r w:rsidRPr="001A3CB5">
        <w:rPr>
          <w:rStyle w:val="FootnoteReference"/>
          <w:i/>
          <w:iCs/>
        </w:rPr>
        <w:footnoteRef/>
      </w:r>
      <w:r w:rsidRPr="001A3CB5">
        <w:rPr>
          <w:i/>
          <w:iCs/>
        </w:rPr>
        <w:t xml:space="preserve"> AEMC, Changing the energy rules – a unique process, </w:t>
      </w:r>
      <w:hyperlink r:id="rId1" w:history="1">
        <w:r w:rsidRPr="001A3CB5">
          <w:rPr>
            <w:rStyle w:val="Hyperlink"/>
            <w:i/>
            <w:iCs/>
            <w:color w:val="auto"/>
          </w:rPr>
          <w:t>https://www.aemc.gov.au/our-work/changing-energy-rules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E1671A"/>
    <w:multiLevelType w:val="hybridMultilevel"/>
    <w:tmpl w:val="3D20557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D71"/>
    <w:rsid w:val="00020D7A"/>
    <w:rsid w:val="00042D71"/>
    <w:rsid w:val="000E4297"/>
    <w:rsid w:val="001A3CB5"/>
    <w:rsid w:val="002C7339"/>
    <w:rsid w:val="003A77BB"/>
    <w:rsid w:val="00441995"/>
    <w:rsid w:val="00444FD5"/>
    <w:rsid w:val="00475E5E"/>
    <w:rsid w:val="004B42A4"/>
    <w:rsid w:val="004C0826"/>
    <w:rsid w:val="004C2011"/>
    <w:rsid w:val="005B7F7C"/>
    <w:rsid w:val="00740EF2"/>
    <w:rsid w:val="00754720"/>
    <w:rsid w:val="008749DC"/>
    <w:rsid w:val="00886677"/>
    <w:rsid w:val="008C0578"/>
    <w:rsid w:val="008F18DC"/>
    <w:rsid w:val="008F5EF7"/>
    <w:rsid w:val="00967971"/>
    <w:rsid w:val="009E0B59"/>
    <w:rsid w:val="00B1355B"/>
    <w:rsid w:val="00B65B1F"/>
    <w:rsid w:val="00C953A6"/>
    <w:rsid w:val="00D5320A"/>
    <w:rsid w:val="00D64F72"/>
    <w:rsid w:val="00D734CF"/>
    <w:rsid w:val="00D859C8"/>
    <w:rsid w:val="00DD483D"/>
    <w:rsid w:val="00E20EB0"/>
    <w:rsid w:val="00E37603"/>
    <w:rsid w:val="00E430B9"/>
    <w:rsid w:val="00E64B2D"/>
    <w:rsid w:val="00F40DF9"/>
    <w:rsid w:val="00F4681D"/>
    <w:rsid w:val="00F62F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1C9B6"/>
  <w15:chartTrackingRefBased/>
  <w15:docId w15:val="{A8C0BB5E-D349-434D-AF4E-F707C11F6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HelveticaNeueLT Std" w:eastAsiaTheme="minorHAnsi" w:hAnsi="HelveticaNeueLT Std" w:cs="Times New Roman"/>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2D71"/>
    <w:rPr>
      <w:color w:val="0563C1" w:themeColor="hyperlink"/>
      <w:u w:val="single"/>
    </w:rPr>
  </w:style>
  <w:style w:type="character" w:styleId="UnresolvedMention">
    <w:name w:val="Unresolved Mention"/>
    <w:basedOn w:val="DefaultParagraphFont"/>
    <w:uiPriority w:val="99"/>
    <w:semiHidden/>
    <w:unhideWhenUsed/>
    <w:rsid w:val="00042D71"/>
    <w:rPr>
      <w:color w:val="605E5C"/>
      <w:shd w:val="clear" w:color="auto" w:fill="E1DFDD"/>
    </w:rPr>
  </w:style>
  <w:style w:type="paragraph" w:styleId="ListParagraph">
    <w:name w:val="List Paragraph"/>
    <w:basedOn w:val="Normal"/>
    <w:uiPriority w:val="34"/>
    <w:qFormat/>
    <w:rsid w:val="00475E5E"/>
    <w:pPr>
      <w:spacing w:before="200" w:after="200" w:line="276" w:lineRule="auto"/>
      <w:ind w:left="720"/>
      <w:contextualSpacing/>
    </w:pPr>
    <w:rPr>
      <w:rFonts w:asciiTheme="minorHAnsi" w:eastAsiaTheme="minorEastAsia" w:hAnsiTheme="minorHAnsi" w:cstheme="minorBidi"/>
      <w:sz w:val="20"/>
      <w:szCs w:val="20"/>
    </w:rPr>
  </w:style>
  <w:style w:type="paragraph" w:styleId="FootnoteText">
    <w:name w:val="footnote text"/>
    <w:basedOn w:val="Normal"/>
    <w:link w:val="FootnoteTextChar"/>
    <w:uiPriority w:val="99"/>
    <w:semiHidden/>
    <w:unhideWhenUsed/>
    <w:rsid w:val="009679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67971"/>
    <w:rPr>
      <w:sz w:val="20"/>
      <w:szCs w:val="20"/>
    </w:rPr>
  </w:style>
  <w:style w:type="character" w:styleId="FootnoteReference">
    <w:name w:val="footnote reference"/>
    <w:basedOn w:val="DefaultParagraphFont"/>
    <w:uiPriority w:val="99"/>
    <w:semiHidden/>
    <w:unhideWhenUsed/>
    <w:rsid w:val="00967971"/>
    <w:rPr>
      <w:vertAlign w:val="superscript"/>
    </w:rPr>
  </w:style>
  <w:style w:type="paragraph" w:styleId="Header">
    <w:name w:val="header"/>
    <w:basedOn w:val="Normal"/>
    <w:link w:val="HeaderChar"/>
    <w:uiPriority w:val="99"/>
    <w:unhideWhenUsed/>
    <w:rsid w:val="001A3C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3CB5"/>
  </w:style>
  <w:style w:type="paragraph" w:styleId="Footer">
    <w:name w:val="footer"/>
    <w:basedOn w:val="Normal"/>
    <w:link w:val="FooterChar"/>
    <w:uiPriority w:val="99"/>
    <w:unhideWhenUsed/>
    <w:rsid w:val="001A3C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3C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mailto:shannon.lakic@cciansw.com.au" TargetMode="External"/><Relationship Id="rId4" Type="http://schemas.openxmlformats.org/officeDocument/2006/relationships/settings" Target="settings.xml"/><Relationship Id="rId9" Type="http://schemas.openxmlformats.org/officeDocument/2006/relationships/hyperlink" Target="mailto:info@esb.org.au" TargetMode="Externa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www.aemc.gov.au/our-work/changing-energy-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FB955E-90DB-47AE-849E-C88E12858C05}">
  <ds:schemaRefs>
    <ds:schemaRef ds:uri="http://schemas.openxmlformats.org/officeDocument/2006/bibliography"/>
  </ds:schemaRefs>
</ds:datastoreItem>
</file>

<file path=customXml/itemProps2.xml><?xml version="1.0" encoding="utf-8"?>
<ds:datastoreItem xmlns:ds="http://schemas.openxmlformats.org/officeDocument/2006/customXml" ds:itemID="{54401F23-CC9D-454F-8F51-B571D452A8CB}"/>
</file>

<file path=customXml/itemProps3.xml><?xml version="1.0" encoding="utf-8"?>
<ds:datastoreItem xmlns:ds="http://schemas.openxmlformats.org/officeDocument/2006/customXml" ds:itemID="{5DFEB8DA-F247-4ECC-8652-E0DB42DEE3FC}"/>
</file>

<file path=customXml/itemProps4.xml><?xml version="1.0" encoding="utf-8"?>
<ds:datastoreItem xmlns:ds="http://schemas.openxmlformats.org/officeDocument/2006/customXml" ds:itemID="{7747EA6A-E005-4517-9D77-BE2A45133A07}"/>
</file>

<file path=docProps/app.xml><?xml version="1.0" encoding="utf-8"?>
<Properties xmlns="http://schemas.openxmlformats.org/officeDocument/2006/extended-properties" xmlns:vt="http://schemas.openxmlformats.org/officeDocument/2006/docPropsVTypes">
  <Template>Normal</Template>
  <TotalTime>369</TotalTime>
  <Pages>5</Pages>
  <Words>1732</Words>
  <Characters>9877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Lakic</dc:creator>
  <cp:keywords/>
  <dc:description/>
  <cp:lastModifiedBy>Shannon Lakic</cp:lastModifiedBy>
  <cp:revision>15</cp:revision>
  <dcterms:created xsi:type="dcterms:W3CDTF">2020-07-27T00:34:00Z</dcterms:created>
  <dcterms:modified xsi:type="dcterms:W3CDTF">2020-07-28T06:15:00Z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