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C1197" w14:textId="77777777" w:rsidR="008A1865" w:rsidRDefault="00EF72C6" w:rsidP="00496D2C">
      <w:pPr>
        <w:jc w:val="right"/>
        <w:rPr>
          <w:b/>
          <w:sz w:val="28"/>
          <w:szCs w:val="28"/>
        </w:rPr>
      </w:pPr>
      <w:r>
        <w:rPr>
          <w:noProof/>
          <w:lang w:eastAsia="en-AU"/>
        </w:rPr>
        <w:drawing>
          <wp:inline distT="0" distB="0" distL="0" distR="0" wp14:anchorId="7183D0A7" wp14:editId="68E87D9E">
            <wp:extent cx="1744980" cy="1012190"/>
            <wp:effectExtent l="0" t="0" r="7620" b="0"/>
            <wp:docPr id="1" name="Picture 1" descr="cid:image001.jpg@01CEDE05.D80C238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EDE05.D80C23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44980" cy="1012190"/>
                    </a:xfrm>
                    <a:prstGeom prst="rect">
                      <a:avLst/>
                    </a:prstGeom>
                    <a:noFill/>
                    <a:ln>
                      <a:noFill/>
                    </a:ln>
                  </pic:spPr>
                </pic:pic>
              </a:graphicData>
            </a:graphic>
          </wp:inline>
        </w:drawing>
      </w:r>
    </w:p>
    <w:p w14:paraId="21F729B4" w14:textId="77777777" w:rsidR="00201E1C" w:rsidRPr="008E1A36" w:rsidRDefault="00033FB5" w:rsidP="00201E1C">
      <w:pPr>
        <w:spacing w:after="0"/>
        <w:jc w:val="center"/>
        <w:rPr>
          <w:rFonts w:cstheme="minorHAnsi"/>
          <w:b/>
          <w:sz w:val="36"/>
          <w:szCs w:val="36"/>
        </w:rPr>
      </w:pPr>
      <w:r w:rsidRPr="008E1A36">
        <w:rPr>
          <w:rFonts w:cstheme="minorHAnsi"/>
          <w:b/>
          <w:sz w:val="36"/>
          <w:szCs w:val="36"/>
        </w:rPr>
        <w:t xml:space="preserve">Clean Energy Council submission to the </w:t>
      </w:r>
    </w:p>
    <w:p w14:paraId="77A9C303" w14:textId="77777777" w:rsidR="00B55787" w:rsidRDefault="00B55787" w:rsidP="00B55787">
      <w:pPr>
        <w:spacing w:after="0"/>
        <w:jc w:val="center"/>
        <w:rPr>
          <w:rFonts w:cstheme="minorHAnsi"/>
          <w:b/>
          <w:sz w:val="36"/>
          <w:szCs w:val="36"/>
        </w:rPr>
      </w:pPr>
      <w:r>
        <w:rPr>
          <w:rFonts w:cstheme="minorHAnsi"/>
          <w:b/>
          <w:sz w:val="36"/>
          <w:szCs w:val="36"/>
        </w:rPr>
        <w:t xml:space="preserve">Energy Security Board </w:t>
      </w:r>
      <w:r w:rsidR="003C49A3">
        <w:rPr>
          <w:rFonts w:cstheme="minorHAnsi"/>
          <w:b/>
          <w:sz w:val="36"/>
          <w:szCs w:val="36"/>
        </w:rPr>
        <w:t xml:space="preserve">consultation paper: </w:t>
      </w:r>
    </w:p>
    <w:p w14:paraId="3B47FA2E" w14:textId="28C70F7C" w:rsidR="002E21CB" w:rsidRPr="00717F25" w:rsidRDefault="00B55787" w:rsidP="00B55787">
      <w:pPr>
        <w:jc w:val="center"/>
        <w:rPr>
          <w:rFonts w:cstheme="minorHAnsi"/>
          <w:b/>
          <w:sz w:val="36"/>
          <w:szCs w:val="36"/>
        </w:rPr>
      </w:pPr>
      <w:r>
        <w:rPr>
          <w:rFonts w:cstheme="minorHAnsi"/>
          <w:b/>
          <w:sz w:val="36"/>
          <w:szCs w:val="36"/>
        </w:rPr>
        <w:t xml:space="preserve">Governance of DER </w:t>
      </w:r>
      <w:r w:rsidR="003C49A3">
        <w:rPr>
          <w:rFonts w:cstheme="minorHAnsi"/>
          <w:b/>
          <w:sz w:val="36"/>
          <w:szCs w:val="36"/>
        </w:rPr>
        <w:t xml:space="preserve">Technical </w:t>
      </w:r>
      <w:r>
        <w:rPr>
          <w:rFonts w:cstheme="minorHAnsi"/>
          <w:b/>
          <w:sz w:val="36"/>
          <w:szCs w:val="36"/>
        </w:rPr>
        <w:t>S</w:t>
      </w:r>
      <w:r w:rsidR="003C49A3">
        <w:rPr>
          <w:rFonts w:cstheme="minorHAnsi"/>
          <w:b/>
          <w:sz w:val="36"/>
          <w:szCs w:val="36"/>
        </w:rPr>
        <w:t>tandards</w:t>
      </w:r>
    </w:p>
    <w:p w14:paraId="2869CBE9" w14:textId="77777777" w:rsidR="0088727B" w:rsidRDefault="0088727B" w:rsidP="00311E69">
      <w:pPr>
        <w:spacing w:before="240" w:after="0"/>
        <w:jc w:val="both"/>
        <w:rPr>
          <w:rFonts w:ascii="Arial" w:hAnsi="Arial" w:cs="Arial"/>
          <w:sz w:val="20"/>
          <w:szCs w:val="20"/>
        </w:rPr>
      </w:pPr>
    </w:p>
    <w:p w14:paraId="10EB4D30" w14:textId="15D92FBA" w:rsidR="004122A7" w:rsidRDefault="00931B84" w:rsidP="00311E69">
      <w:pPr>
        <w:spacing w:before="240" w:after="0"/>
        <w:jc w:val="both"/>
        <w:rPr>
          <w:rFonts w:ascii="Arial" w:hAnsi="Arial" w:cs="Arial"/>
          <w:sz w:val="20"/>
          <w:szCs w:val="20"/>
        </w:rPr>
      </w:pPr>
      <w:r w:rsidRPr="005707F3">
        <w:rPr>
          <w:rFonts w:ascii="Arial" w:hAnsi="Arial" w:cs="Arial"/>
          <w:sz w:val="20"/>
          <w:szCs w:val="20"/>
        </w:rPr>
        <w:t>The Clean Energy Council (CEC)</w:t>
      </w:r>
      <w:r w:rsidR="00D9522F" w:rsidRPr="005707F3">
        <w:rPr>
          <w:rFonts w:ascii="Arial" w:hAnsi="Arial" w:cs="Arial"/>
          <w:sz w:val="20"/>
          <w:szCs w:val="20"/>
        </w:rPr>
        <w:t xml:space="preserve"> welcomes the </w:t>
      </w:r>
      <w:r w:rsidR="00B55787">
        <w:rPr>
          <w:rFonts w:ascii="Arial" w:hAnsi="Arial" w:cs="Arial"/>
          <w:sz w:val="20"/>
          <w:szCs w:val="20"/>
        </w:rPr>
        <w:t xml:space="preserve">Energy Security Board (ESB) </w:t>
      </w:r>
      <w:r w:rsidR="003C49A3">
        <w:rPr>
          <w:rFonts w:ascii="Arial" w:hAnsi="Arial" w:cs="Arial"/>
          <w:sz w:val="20"/>
          <w:szCs w:val="20"/>
        </w:rPr>
        <w:t xml:space="preserve">consultation paper on </w:t>
      </w:r>
      <w:r w:rsidR="00B55787">
        <w:rPr>
          <w:rFonts w:ascii="Arial" w:hAnsi="Arial" w:cs="Arial"/>
          <w:sz w:val="20"/>
          <w:szCs w:val="20"/>
        </w:rPr>
        <w:t xml:space="preserve">governance of </w:t>
      </w:r>
      <w:r w:rsidR="003C49A3">
        <w:rPr>
          <w:rFonts w:ascii="Arial" w:hAnsi="Arial" w:cs="Arial"/>
          <w:sz w:val="20"/>
          <w:szCs w:val="20"/>
        </w:rPr>
        <w:t>distributed energy resources (DER)</w:t>
      </w:r>
      <w:r w:rsidR="00B55787">
        <w:rPr>
          <w:rFonts w:ascii="Arial" w:hAnsi="Arial" w:cs="Arial"/>
          <w:sz w:val="20"/>
          <w:szCs w:val="20"/>
        </w:rPr>
        <w:t xml:space="preserve"> technical standards and the opportunity to provide feedback.</w:t>
      </w:r>
    </w:p>
    <w:p w14:paraId="1188CCFF" w14:textId="125032FD" w:rsidR="00B55787" w:rsidRDefault="008E1A36" w:rsidP="007D5776">
      <w:pPr>
        <w:spacing w:before="120" w:after="0"/>
        <w:jc w:val="both"/>
        <w:rPr>
          <w:rFonts w:ascii="Arial" w:hAnsi="Arial" w:cs="Arial"/>
          <w:sz w:val="20"/>
          <w:szCs w:val="20"/>
        </w:rPr>
      </w:pPr>
      <w:r>
        <w:rPr>
          <w:rFonts w:ascii="Arial" w:hAnsi="Arial" w:cs="Arial"/>
          <w:color w:val="000000"/>
          <w:sz w:val="20"/>
          <w:szCs w:val="20"/>
          <w:lang w:val="en-US"/>
        </w:rPr>
        <w:t xml:space="preserve">The Clean Energy Council is the peak body for the clean energy industry in Australia. We represent and work with Australia's leading renewable energy and energy storage businesses, as well as rooftop solar installers, to further the development of clean energy in Australia. </w:t>
      </w:r>
      <w:r>
        <w:rPr>
          <w:rFonts w:ascii="Arial" w:hAnsi="Arial" w:cs="Arial"/>
          <w:sz w:val="20"/>
          <w:szCs w:val="20"/>
        </w:rPr>
        <w:t>We are committed to accelerating the transformation of Australia’s energy system to one that is smarter and cleaner.</w:t>
      </w:r>
    </w:p>
    <w:p w14:paraId="58606D28" w14:textId="3CC5A568" w:rsidR="007D5776" w:rsidRPr="007D5776" w:rsidRDefault="007D5776" w:rsidP="007D5776">
      <w:pPr>
        <w:autoSpaceDE w:val="0"/>
        <w:autoSpaceDN w:val="0"/>
        <w:adjustRightInd w:val="0"/>
        <w:spacing w:before="120" w:after="0"/>
        <w:jc w:val="both"/>
        <w:rPr>
          <w:rFonts w:ascii="Arial" w:hAnsi="Arial" w:cs="Arial"/>
          <w:b/>
          <w:bCs/>
          <w:i/>
          <w:iCs/>
          <w:color w:val="000000"/>
          <w:sz w:val="20"/>
          <w:szCs w:val="20"/>
        </w:rPr>
      </w:pPr>
      <w:r>
        <w:rPr>
          <w:rFonts w:ascii="Arial" w:hAnsi="Arial" w:cs="Arial"/>
          <w:color w:val="000000"/>
          <w:sz w:val="20"/>
          <w:szCs w:val="20"/>
        </w:rPr>
        <w:t>The CEC welcomes and supports the proposal to establish a DER Standards Governance Committee under the National Electricity Rules (NER). We recommend consideration of a hybrid model that combines advisory and determining roles, taking advantages of the strengths of the key institutions.</w:t>
      </w:r>
      <w:r w:rsidR="00E237DC">
        <w:rPr>
          <w:rFonts w:ascii="Arial" w:hAnsi="Arial" w:cs="Arial"/>
          <w:color w:val="000000"/>
          <w:sz w:val="20"/>
          <w:szCs w:val="20"/>
        </w:rPr>
        <w:t xml:space="preserve"> </w:t>
      </w:r>
      <w:r>
        <w:rPr>
          <w:rFonts w:ascii="Arial" w:hAnsi="Arial" w:cs="Arial"/>
          <w:color w:val="000000"/>
          <w:sz w:val="20"/>
          <w:szCs w:val="20"/>
        </w:rPr>
        <w:t xml:space="preserve">In this model, the </w:t>
      </w:r>
      <w:r w:rsidRPr="007D5776">
        <w:rPr>
          <w:rFonts w:ascii="Arial" w:hAnsi="Arial" w:cs="Arial"/>
          <w:color w:val="000000"/>
          <w:sz w:val="20"/>
          <w:szCs w:val="20"/>
        </w:rPr>
        <w:t xml:space="preserve">DER Standards Governance Committee </w:t>
      </w:r>
      <w:r w:rsidR="00E237DC">
        <w:rPr>
          <w:rFonts w:ascii="Arial" w:hAnsi="Arial" w:cs="Arial"/>
          <w:color w:val="000000"/>
          <w:sz w:val="20"/>
          <w:szCs w:val="20"/>
        </w:rPr>
        <w:t xml:space="preserve">would recommend technical standards and the </w:t>
      </w:r>
      <w:r w:rsidRPr="007D5776">
        <w:rPr>
          <w:rFonts w:ascii="Arial" w:hAnsi="Arial" w:cs="Arial"/>
          <w:color w:val="000000"/>
          <w:sz w:val="20"/>
          <w:szCs w:val="20"/>
        </w:rPr>
        <w:t xml:space="preserve">Australian Energy Market Commission (AEMC) </w:t>
      </w:r>
      <w:r w:rsidR="00E237DC">
        <w:rPr>
          <w:rFonts w:ascii="Arial" w:hAnsi="Arial" w:cs="Arial"/>
          <w:color w:val="000000"/>
          <w:sz w:val="20"/>
          <w:szCs w:val="20"/>
        </w:rPr>
        <w:t xml:space="preserve">would make a </w:t>
      </w:r>
      <w:r w:rsidRPr="007D5776">
        <w:rPr>
          <w:rFonts w:ascii="Arial" w:hAnsi="Arial" w:cs="Arial"/>
          <w:color w:val="000000"/>
          <w:sz w:val="20"/>
          <w:szCs w:val="20"/>
        </w:rPr>
        <w:t>final determination</w:t>
      </w:r>
      <w:r w:rsidR="00E237DC">
        <w:rPr>
          <w:rFonts w:ascii="Arial" w:hAnsi="Arial" w:cs="Arial"/>
          <w:color w:val="000000"/>
          <w:sz w:val="20"/>
          <w:szCs w:val="20"/>
        </w:rPr>
        <w:t>. The AEMC would not reconsider technical aspects of the proposed standard, only issues of economics, customer impacts and impacts on businesses.</w:t>
      </w:r>
    </w:p>
    <w:p w14:paraId="45B2E2E2" w14:textId="5327F625" w:rsidR="00EC1BA1" w:rsidRDefault="00E237DC" w:rsidP="00EC1BA1">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The scope of the </w:t>
      </w:r>
      <w:r w:rsidR="00EC1BA1">
        <w:rPr>
          <w:rFonts w:ascii="Arial" w:hAnsi="Arial" w:cs="Arial"/>
          <w:color w:val="000000"/>
          <w:sz w:val="20"/>
          <w:szCs w:val="20"/>
        </w:rPr>
        <w:t xml:space="preserve">DER Standards Governance Committee should include all matters relevant to DER integration. This should include governance of DER technical standards, governance of DNSP regulation and governance of compliance and enforcement more broadly. </w:t>
      </w:r>
      <w:r w:rsidR="007D5776">
        <w:rPr>
          <w:rFonts w:ascii="Arial" w:hAnsi="Arial" w:cs="Arial"/>
          <w:color w:val="000000"/>
          <w:sz w:val="20"/>
          <w:szCs w:val="20"/>
        </w:rPr>
        <w:t xml:space="preserve">An important role for the </w:t>
      </w:r>
      <w:r w:rsidR="00EC1BA1">
        <w:rPr>
          <w:rFonts w:ascii="Arial" w:hAnsi="Arial" w:cs="Arial"/>
          <w:color w:val="000000"/>
          <w:sz w:val="20"/>
          <w:szCs w:val="20"/>
        </w:rPr>
        <w:t>DER Standards Governance Committee</w:t>
      </w:r>
      <w:r w:rsidR="007D5776">
        <w:rPr>
          <w:rFonts w:ascii="Arial" w:hAnsi="Arial" w:cs="Arial"/>
          <w:color w:val="000000"/>
          <w:sz w:val="20"/>
          <w:szCs w:val="20"/>
        </w:rPr>
        <w:t xml:space="preserve"> will be to ensure that rules and standards are transparent and accessible and that the processes to develop them are transparent and accountable. </w:t>
      </w:r>
    </w:p>
    <w:p w14:paraId="2F5537A9" w14:textId="41ACD764" w:rsidR="00B55787" w:rsidRPr="00EC1BA1" w:rsidRDefault="007D5776" w:rsidP="00EC1BA1">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There is a need for a wholistic review of the compliance and enforcement framework, particularly as it relates to DER installers and product standards, within the next few years. The </w:t>
      </w:r>
      <w:r w:rsidR="00EC1BA1">
        <w:rPr>
          <w:rFonts w:ascii="Arial" w:hAnsi="Arial" w:cs="Arial"/>
          <w:color w:val="000000"/>
          <w:sz w:val="20"/>
          <w:szCs w:val="20"/>
        </w:rPr>
        <w:t>DER Standards Governance Committee</w:t>
      </w:r>
      <w:r>
        <w:rPr>
          <w:rFonts w:ascii="Arial" w:hAnsi="Arial" w:cs="Arial"/>
          <w:color w:val="000000"/>
          <w:sz w:val="20"/>
          <w:szCs w:val="20"/>
        </w:rPr>
        <w:t xml:space="preserve"> should aim to have in place a new compliance and enforcement framework that is independent of the </w:t>
      </w:r>
      <w:r w:rsidR="00EC1BA1">
        <w:rPr>
          <w:rFonts w:ascii="Arial" w:hAnsi="Arial" w:cs="Arial"/>
          <w:color w:val="000000"/>
          <w:sz w:val="20"/>
          <w:szCs w:val="20"/>
        </w:rPr>
        <w:t>Small-scale Renewable Energy Scheme (</w:t>
      </w:r>
      <w:r>
        <w:rPr>
          <w:rFonts w:ascii="Arial" w:hAnsi="Arial" w:cs="Arial"/>
          <w:color w:val="000000"/>
          <w:sz w:val="20"/>
          <w:szCs w:val="20"/>
        </w:rPr>
        <w:t>SRES</w:t>
      </w:r>
      <w:r w:rsidR="00EC1BA1">
        <w:rPr>
          <w:rFonts w:ascii="Arial" w:hAnsi="Arial" w:cs="Arial"/>
          <w:color w:val="000000"/>
          <w:sz w:val="20"/>
          <w:szCs w:val="20"/>
        </w:rPr>
        <w:t>)</w:t>
      </w:r>
      <w:r>
        <w:rPr>
          <w:rFonts w:ascii="Arial" w:hAnsi="Arial" w:cs="Arial"/>
          <w:color w:val="000000"/>
          <w:sz w:val="20"/>
          <w:szCs w:val="20"/>
        </w:rPr>
        <w:t xml:space="preserve"> by no later than 2025.</w:t>
      </w:r>
    </w:p>
    <w:p w14:paraId="55ECC11F" w14:textId="4B660E41" w:rsidR="00B47AC5" w:rsidRDefault="00B47AC5" w:rsidP="005041D5">
      <w:pPr>
        <w:spacing w:before="120"/>
        <w:jc w:val="both"/>
        <w:rPr>
          <w:rFonts w:ascii="Arial" w:hAnsi="Arial" w:cs="Arial"/>
          <w:sz w:val="20"/>
          <w:szCs w:val="20"/>
        </w:rPr>
      </w:pPr>
      <w:r w:rsidRPr="005707F3">
        <w:rPr>
          <w:rFonts w:ascii="Arial" w:hAnsi="Arial" w:cs="Arial"/>
          <w:sz w:val="20"/>
          <w:szCs w:val="20"/>
        </w:rPr>
        <w:t xml:space="preserve">We would be happy to discuss these issues in further detail with </w:t>
      </w:r>
      <w:r>
        <w:rPr>
          <w:rFonts w:ascii="Arial" w:hAnsi="Arial" w:cs="Arial"/>
          <w:sz w:val="20"/>
          <w:szCs w:val="20"/>
        </w:rPr>
        <w:t xml:space="preserve">representatives of </w:t>
      </w:r>
      <w:r w:rsidRPr="005707F3">
        <w:rPr>
          <w:rFonts w:ascii="Arial" w:hAnsi="Arial" w:cs="Arial"/>
          <w:sz w:val="20"/>
          <w:szCs w:val="20"/>
        </w:rPr>
        <w:t xml:space="preserve">the </w:t>
      </w:r>
      <w:r w:rsidR="00B55787">
        <w:rPr>
          <w:rFonts w:ascii="Arial" w:hAnsi="Arial" w:cs="Arial"/>
          <w:sz w:val="20"/>
          <w:szCs w:val="20"/>
        </w:rPr>
        <w:t>ESB</w:t>
      </w:r>
      <w:r>
        <w:rPr>
          <w:rFonts w:ascii="Arial" w:hAnsi="Arial" w:cs="Arial"/>
          <w:sz w:val="20"/>
          <w:szCs w:val="20"/>
        </w:rPr>
        <w:t>.</w:t>
      </w:r>
    </w:p>
    <w:p w14:paraId="11E2980B" w14:textId="77777777" w:rsidR="00E6608B" w:rsidRDefault="00E6608B" w:rsidP="00874973">
      <w:pPr>
        <w:pStyle w:val="Default"/>
        <w:spacing w:before="120" w:line="276" w:lineRule="auto"/>
        <w:jc w:val="both"/>
        <w:rPr>
          <w:rFonts w:ascii="Arial" w:hAnsi="Arial" w:cs="Arial"/>
          <w:bCs/>
          <w:sz w:val="20"/>
          <w:szCs w:val="20"/>
        </w:rPr>
      </w:pPr>
    </w:p>
    <w:p w14:paraId="069FF987" w14:textId="77777777" w:rsidR="00A81E26" w:rsidRDefault="00A81E26" w:rsidP="00717F25">
      <w:pPr>
        <w:spacing w:before="240" w:after="0"/>
        <w:jc w:val="both"/>
        <w:rPr>
          <w:rFonts w:ascii="Arial" w:hAnsi="Arial" w:cs="Arial"/>
          <w:sz w:val="20"/>
          <w:szCs w:val="20"/>
        </w:rPr>
      </w:pPr>
    </w:p>
    <w:p w14:paraId="3A7652D8" w14:textId="77777777" w:rsidR="00685F42" w:rsidRDefault="00685F42">
      <w:pPr>
        <w:rPr>
          <w:rFonts w:ascii="Arial" w:hAnsi="Arial" w:cs="Arial"/>
          <w:b/>
          <w:bCs/>
          <w:sz w:val="20"/>
          <w:szCs w:val="20"/>
        </w:rPr>
      </w:pPr>
      <w:r>
        <w:rPr>
          <w:rFonts w:ascii="Arial" w:hAnsi="Arial" w:cs="Arial"/>
          <w:b/>
          <w:bCs/>
          <w:sz w:val="20"/>
          <w:szCs w:val="20"/>
        </w:rPr>
        <w:br w:type="page"/>
      </w:r>
    </w:p>
    <w:p w14:paraId="09452F86" w14:textId="03CA8E4D" w:rsidR="00175D17" w:rsidRPr="00175D17" w:rsidRDefault="00B55787" w:rsidP="00175D17">
      <w:pPr>
        <w:autoSpaceDE w:val="0"/>
        <w:autoSpaceDN w:val="0"/>
        <w:adjustRightInd w:val="0"/>
        <w:spacing w:before="120" w:after="0"/>
        <w:jc w:val="both"/>
        <w:rPr>
          <w:rFonts w:ascii="Arial" w:hAnsi="Arial" w:cs="Arial"/>
          <w:b/>
          <w:bCs/>
          <w:color w:val="000000"/>
          <w:sz w:val="20"/>
          <w:szCs w:val="20"/>
        </w:rPr>
      </w:pPr>
      <w:r>
        <w:rPr>
          <w:rFonts w:ascii="Arial" w:hAnsi="Arial" w:cs="Arial"/>
          <w:b/>
          <w:bCs/>
          <w:color w:val="000000"/>
          <w:sz w:val="20"/>
          <w:szCs w:val="20"/>
        </w:rPr>
        <w:lastRenderedPageBreak/>
        <w:t xml:space="preserve">RESPONSES TO </w:t>
      </w:r>
      <w:r w:rsidR="00175D17" w:rsidRPr="00175D17">
        <w:rPr>
          <w:rFonts w:ascii="Arial" w:hAnsi="Arial" w:cs="Arial"/>
          <w:b/>
          <w:bCs/>
          <w:color w:val="000000"/>
          <w:sz w:val="20"/>
          <w:szCs w:val="20"/>
        </w:rPr>
        <w:t>QUESTION</w:t>
      </w:r>
      <w:r>
        <w:rPr>
          <w:rFonts w:ascii="Arial" w:hAnsi="Arial" w:cs="Arial"/>
          <w:b/>
          <w:bCs/>
          <w:color w:val="000000"/>
          <w:sz w:val="20"/>
          <w:szCs w:val="20"/>
        </w:rPr>
        <w:t>S</w:t>
      </w:r>
      <w:r w:rsidR="00175D17" w:rsidRPr="00175D17">
        <w:rPr>
          <w:rFonts w:ascii="Arial" w:hAnsi="Arial" w:cs="Arial"/>
          <w:b/>
          <w:bCs/>
          <w:color w:val="000000"/>
          <w:sz w:val="20"/>
          <w:szCs w:val="20"/>
        </w:rPr>
        <w:t xml:space="preserve"> </w:t>
      </w:r>
      <w:r>
        <w:rPr>
          <w:rFonts w:ascii="Arial" w:hAnsi="Arial" w:cs="Arial"/>
          <w:b/>
          <w:bCs/>
          <w:color w:val="000000"/>
          <w:sz w:val="20"/>
          <w:szCs w:val="20"/>
        </w:rPr>
        <w:t>RAISED BY THE CONSULTATION PAPER</w:t>
      </w:r>
      <w:r w:rsidR="00175D17" w:rsidRPr="00175D17">
        <w:rPr>
          <w:rFonts w:ascii="Arial" w:hAnsi="Arial" w:cs="Arial"/>
          <w:b/>
          <w:bCs/>
          <w:color w:val="000000"/>
          <w:sz w:val="20"/>
          <w:szCs w:val="20"/>
        </w:rPr>
        <w:t xml:space="preserve"> </w:t>
      </w:r>
    </w:p>
    <w:p w14:paraId="3E3CD131" w14:textId="7E93D43E" w:rsidR="00175D17" w:rsidRPr="00B55787" w:rsidRDefault="00175D17" w:rsidP="00B55787">
      <w:pPr>
        <w:pStyle w:val="ListParagraph"/>
        <w:numPr>
          <w:ilvl w:val="0"/>
          <w:numId w:val="13"/>
        </w:numPr>
        <w:tabs>
          <w:tab w:val="left" w:pos="3740"/>
        </w:tabs>
        <w:spacing w:before="240" w:after="120"/>
        <w:jc w:val="both"/>
        <w:rPr>
          <w:rFonts w:ascii="Arial" w:hAnsi="Arial" w:cs="Arial"/>
          <w:b/>
          <w:bCs/>
          <w:i/>
          <w:iCs/>
          <w:color w:val="000000"/>
          <w:sz w:val="20"/>
          <w:szCs w:val="20"/>
        </w:rPr>
      </w:pPr>
      <w:r w:rsidRPr="00B55787">
        <w:rPr>
          <w:rFonts w:ascii="Arial" w:hAnsi="Arial" w:cs="Arial"/>
          <w:b/>
          <w:bCs/>
          <w:i/>
          <w:iCs/>
          <w:color w:val="000000"/>
          <w:sz w:val="20"/>
          <w:szCs w:val="20"/>
        </w:rPr>
        <w:t xml:space="preserve">Do you </w:t>
      </w:r>
      <w:r w:rsidR="00B55787">
        <w:rPr>
          <w:rFonts w:ascii="Arial" w:hAnsi="Arial" w:cs="Arial"/>
          <w:b/>
          <w:bCs/>
          <w:i/>
          <w:iCs/>
          <w:color w:val="000000"/>
          <w:sz w:val="20"/>
          <w:szCs w:val="20"/>
        </w:rPr>
        <w:t xml:space="preserve">support the proposal to establish a DER Standards Governance Committee under the National Electricity Rules? </w:t>
      </w:r>
    </w:p>
    <w:p w14:paraId="3D79D949" w14:textId="00DACEB8" w:rsidR="00175D17" w:rsidRDefault="00B55787" w:rsidP="00175D17">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The CEC welcomes and supports the proposal to establish a DER Standards Governance Committee under the NER. We agree with the findings of the </w:t>
      </w:r>
      <w:proofErr w:type="spellStart"/>
      <w:r>
        <w:rPr>
          <w:rFonts w:ascii="Arial" w:hAnsi="Arial" w:cs="Arial"/>
          <w:color w:val="000000"/>
          <w:sz w:val="20"/>
          <w:szCs w:val="20"/>
        </w:rPr>
        <w:t>Sapere</w:t>
      </w:r>
      <w:proofErr w:type="spellEnd"/>
      <w:r>
        <w:rPr>
          <w:rFonts w:ascii="Arial" w:hAnsi="Arial" w:cs="Arial"/>
          <w:color w:val="000000"/>
          <w:sz w:val="20"/>
          <w:szCs w:val="20"/>
        </w:rPr>
        <w:t xml:space="preserve">/CutlerMerz review, that the governance of DER technical standards is fragmented and lacks clarity of roles and coordination. </w:t>
      </w:r>
      <w:r w:rsidR="00C27DEB">
        <w:rPr>
          <w:rFonts w:ascii="Arial" w:hAnsi="Arial" w:cs="Arial"/>
          <w:color w:val="000000"/>
          <w:sz w:val="20"/>
          <w:szCs w:val="20"/>
        </w:rPr>
        <w:t xml:space="preserve">We agree that there are inadequate resources dedicated to the setting of DER standards and consequently the pace of change is slower than is needed given the rapid deployment of DER. </w:t>
      </w:r>
      <w:r>
        <w:rPr>
          <w:rFonts w:ascii="Arial" w:hAnsi="Arial" w:cs="Arial"/>
          <w:color w:val="000000"/>
          <w:sz w:val="20"/>
          <w:szCs w:val="20"/>
        </w:rPr>
        <w:t>The proposed DER Standards Governance Committee would greatly assist with the resourcing and coordination of DER technical standards.</w:t>
      </w:r>
      <w:r w:rsidR="000871BE">
        <w:rPr>
          <w:rFonts w:ascii="Arial" w:hAnsi="Arial" w:cs="Arial"/>
          <w:color w:val="000000"/>
          <w:sz w:val="20"/>
          <w:szCs w:val="20"/>
        </w:rPr>
        <w:t xml:space="preserve"> </w:t>
      </w:r>
    </w:p>
    <w:p w14:paraId="5440D9FA" w14:textId="46895868" w:rsidR="00B659E3" w:rsidRPr="00B55787" w:rsidRDefault="00B55787" w:rsidP="00B55787">
      <w:pPr>
        <w:pStyle w:val="ListParagraph"/>
        <w:numPr>
          <w:ilvl w:val="0"/>
          <w:numId w:val="13"/>
        </w:numPr>
        <w:autoSpaceDE w:val="0"/>
        <w:autoSpaceDN w:val="0"/>
        <w:adjustRightInd w:val="0"/>
        <w:spacing w:before="240" w:after="0"/>
        <w:jc w:val="both"/>
        <w:rPr>
          <w:rFonts w:ascii="Arial" w:hAnsi="Arial" w:cs="Arial"/>
          <w:b/>
          <w:bCs/>
          <w:i/>
          <w:iCs/>
          <w:color w:val="000000"/>
          <w:sz w:val="20"/>
          <w:szCs w:val="20"/>
        </w:rPr>
      </w:pPr>
      <w:r>
        <w:rPr>
          <w:rFonts w:ascii="Arial" w:hAnsi="Arial" w:cs="Arial"/>
          <w:b/>
          <w:bCs/>
          <w:i/>
          <w:iCs/>
          <w:color w:val="000000"/>
          <w:sz w:val="20"/>
          <w:szCs w:val="20"/>
        </w:rPr>
        <w:t xml:space="preserve">Do you support the </w:t>
      </w:r>
      <w:r w:rsidR="00EC1BA1">
        <w:rPr>
          <w:rFonts w:ascii="Arial" w:hAnsi="Arial" w:cs="Arial"/>
          <w:b/>
          <w:bCs/>
          <w:i/>
          <w:iCs/>
          <w:color w:val="000000"/>
          <w:sz w:val="20"/>
          <w:szCs w:val="20"/>
        </w:rPr>
        <w:t>DER Standards Governance Committee</w:t>
      </w:r>
      <w:r>
        <w:rPr>
          <w:rFonts w:ascii="Arial" w:hAnsi="Arial" w:cs="Arial"/>
          <w:b/>
          <w:bCs/>
          <w:i/>
          <w:iCs/>
          <w:color w:val="000000"/>
          <w:sz w:val="20"/>
          <w:szCs w:val="20"/>
        </w:rPr>
        <w:t xml:space="preserve"> being advisory or determining? </w:t>
      </w:r>
    </w:p>
    <w:p w14:paraId="0B99B16E" w14:textId="21BF8BCF" w:rsidR="00AF35BE" w:rsidRDefault="00AF35BE" w:rsidP="00AF35BE">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In determining the role for the </w:t>
      </w:r>
      <w:r w:rsidR="00EC1BA1">
        <w:rPr>
          <w:rFonts w:ascii="Arial" w:hAnsi="Arial" w:cs="Arial"/>
          <w:color w:val="000000"/>
          <w:sz w:val="20"/>
          <w:szCs w:val="20"/>
        </w:rPr>
        <w:t>DER Standards Governance Committee</w:t>
      </w:r>
      <w:r>
        <w:rPr>
          <w:rFonts w:ascii="Arial" w:hAnsi="Arial" w:cs="Arial"/>
          <w:color w:val="000000"/>
          <w:sz w:val="20"/>
          <w:szCs w:val="20"/>
        </w:rPr>
        <w:t xml:space="preserve">, it will be important to strike a balance between competing objectives, including: </w:t>
      </w:r>
    </w:p>
    <w:p w14:paraId="22ABC970" w14:textId="1500D17C" w:rsidR="00AF35BE" w:rsidRDefault="00AF35BE" w:rsidP="00AF35BE">
      <w:pPr>
        <w:pStyle w:val="ListParagraph"/>
        <w:numPr>
          <w:ilvl w:val="0"/>
          <w:numId w:val="14"/>
        </w:numPr>
        <w:autoSpaceDE w:val="0"/>
        <w:autoSpaceDN w:val="0"/>
        <w:adjustRightInd w:val="0"/>
        <w:spacing w:before="60" w:after="0"/>
        <w:ind w:left="714" w:hanging="357"/>
        <w:contextualSpacing w:val="0"/>
        <w:jc w:val="both"/>
        <w:rPr>
          <w:rFonts w:ascii="Arial" w:hAnsi="Arial" w:cs="Arial"/>
          <w:color w:val="000000"/>
          <w:sz w:val="20"/>
          <w:szCs w:val="20"/>
        </w:rPr>
      </w:pPr>
      <w:r w:rsidRPr="00AF35BE">
        <w:rPr>
          <w:rFonts w:ascii="Arial" w:hAnsi="Arial" w:cs="Arial"/>
          <w:color w:val="000000"/>
          <w:sz w:val="20"/>
          <w:szCs w:val="20"/>
        </w:rPr>
        <w:t xml:space="preserve">the need for technical expertise versus the need to </w:t>
      </w:r>
      <w:r>
        <w:rPr>
          <w:rFonts w:ascii="Arial" w:hAnsi="Arial" w:cs="Arial"/>
          <w:color w:val="000000"/>
          <w:sz w:val="20"/>
          <w:szCs w:val="20"/>
        </w:rPr>
        <w:t xml:space="preserve">take account of </w:t>
      </w:r>
      <w:r w:rsidRPr="00AF35BE">
        <w:rPr>
          <w:rFonts w:ascii="Arial" w:hAnsi="Arial" w:cs="Arial"/>
          <w:color w:val="000000"/>
          <w:sz w:val="20"/>
          <w:szCs w:val="20"/>
        </w:rPr>
        <w:t xml:space="preserve">broader </w:t>
      </w:r>
      <w:r>
        <w:rPr>
          <w:rFonts w:ascii="Arial" w:hAnsi="Arial" w:cs="Arial"/>
          <w:color w:val="000000"/>
          <w:sz w:val="20"/>
          <w:szCs w:val="20"/>
        </w:rPr>
        <w:t>considerations, such as the long-term interests of consumers, impacts on industry and overall costs, benefits, and risks of proposals, and</w:t>
      </w:r>
    </w:p>
    <w:p w14:paraId="73B56211" w14:textId="4BB4E485" w:rsidR="00AF35BE" w:rsidRPr="00AF35BE" w:rsidRDefault="00AF35BE" w:rsidP="00AF35BE">
      <w:pPr>
        <w:pStyle w:val="ListParagraph"/>
        <w:numPr>
          <w:ilvl w:val="0"/>
          <w:numId w:val="14"/>
        </w:numPr>
        <w:autoSpaceDE w:val="0"/>
        <w:autoSpaceDN w:val="0"/>
        <w:adjustRightInd w:val="0"/>
        <w:spacing w:before="60" w:after="0"/>
        <w:ind w:left="714" w:hanging="357"/>
        <w:contextualSpacing w:val="0"/>
        <w:jc w:val="both"/>
        <w:rPr>
          <w:rFonts w:ascii="Arial" w:hAnsi="Arial" w:cs="Arial"/>
          <w:color w:val="000000"/>
          <w:sz w:val="20"/>
          <w:szCs w:val="20"/>
        </w:rPr>
      </w:pPr>
      <w:r>
        <w:rPr>
          <w:rFonts w:ascii="Arial" w:hAnsi="Arial" w:cs="Arial"/>
          <w:color w:val="000000"/>
          <w:sz w:val="20"/>
          <w:szCs w:val="20"/>
        </w:rPr>
        <w:t xml:space="preserve">the need for speed versus the need for </w:t>
      </w:r>
      <w:r w:rsidR="003503EE">
        <w:rPr>
          <w:rFonts w:ascii="Arial" w:hAnsi="Arial" w:cs="Arial"/>
          <w:color w:val="000000"/>
          <w:sz w:val="20"/>
          <w:szCs w:val="20"/>
        </w:rPr>
        <w:t xml:space="preserve">accountability, </w:t>
      </w:r>
      <w:r>
        <w:rPr>
          <w:rFonts w:ascii="Arial" w:hAnsi="Arial" w:cs="Arial"/>
          <w:color w:val="000000"/>
          <w:sz w:val="20"/>
          <w:szCs w:val="20"/>
        </w:rPr>
        <w:t>good process and appropriate consideration of important issues that might be overlooked by a committee</w:t>
      </w:r>
      <w:r w:rsidR="003503EE">
        <w:rPr>
          <w:rFonts w:ascii="Arial" w:hAnsi="Arial" w:cs="Arial"/>
          <w:color w:val="000000"/>
          <w:sz w:val="20"/>
          <w:szCs w:val="20"/>
        </w:rPr>
        <w:t xml:space="preserve"> comprised of members selected for their technical expertise</w:t>
      </w:r>
      <w:r>
        <w:rPr>
          <w:rFonts w:ascii="Arial" w:hAnsi="Arial" w:cs="Arial"/>
          <w:color w:val="000000"/>
          <w:sz w:val="20"/>
          <w:szCs w:val="20"/>
        </w:rPr>
        <w:t>.</w:t>
      </w:r>
    </w:p>
    <w:p w14:paraId="5C878B1D" w14:textId="03121768" w:rsidR="00AF35BE" w:rsidRDefault="00AF35BE" w:rsidP="004733FF">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As a means of balancing the competing objectives, the CEC recommends consideration of a hybrid model that takes advantages of the strengths of the key institutions involved in the proposed structure.</w:t>
      </w:r>
    </w:p>
    <w:p w14:paraId="68189904" w14:textId="7D7E79B6" w:rsidR="00AF35BE" w:rsidRDefault="003503EE" w:rsidP="004733FF">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This could involve:</w:t>
      </w:r>
    </w:p>
    <w:p w14:paraId="78102669" w14:textId="5DB3721F" w:rsidR="003503EE" w:rsidRDefault="003503EE" w:rsidP="003503EE">
      <w:pPr>
        <w:pStyle w:val="ListParagraph"/>
        <w:numPr>
          <w:ilvl w:val="0"/>
          <w:numId w:val="16"/>
        </w:numPr>
        <w:autoSpaceDE w:val="0"/>
        <w:autoSpaceDN w:val="0"/>
        <w:adjustRightInd w:val="0"/>
        <w:spacing w:before="60" w:after="0"/>
        <w:ind w:left="714" w:hanging="357"/>
        <w:contextualSpacing w:val="0"/>
        <w:jc w:val="both"/>
        <w:rPr>
          <w:rFonts w:ascii="Arial" w:hAnsi="Arial" w:cs="Arial"/>
          <w:color w:val="000000"/>
          <w:sz w:val="20"/>
          <w:szCs w:val="20"/>
        </w:rPr>
      </w:pPr>
      <w:r>
        <w:rPr>
          <w:rFonts w:ascii="Arial" w:hAnsi="Arial" w:cs="Arial"/>
          <w:color w:val="000000"/>
          <w:sz w:val="20"/>
          <w:szCs w:val="20"/>
        </w:rPr>
        <w:t>Low level technical committees (possibly convened by Standards Australia, or by the DER Standards Governance Committee or possibly working independently) to continue the usual work of detailed standards development,</w:t>
      </w:r>
    </w:p>
    <w:p w14:paraId="482DF7C9" w14:textId="6C287A43" w:rsidR="003503EE" w:rsidRDefault="003503EE" w:rsidP="003503EE">
      <w:pPr>
        <w:pStyle w:val="ListParagraph"/>
        <w:numPr>
          <w:ilvl w:val="0"/>
          <w:numId w:val="16"/>
        </w:numPr>
        <w:autoSpaceDE w:val="0"/>
        <w:autoSpaceDN w:val="0"/>
        <w:adjustRightInd w:val="0"/>
        <w:spacing w:before="60" w:after="0"/>
        <w:ind w:left="714" w:hanging="357"/>
        <w:contextualSpacing w:val="0"/>
        <w:jc w:val="both"/>
        <w:rPr>
          <w:rFonts w:ascii="Arial" w:hAnsi="Arial" w:cs="Arial"/>
          <w:color w:val="000000"/>
          <w:sz w:val="20"/>
          <w:szCs w:val="20"/>
        </w:rPr>
      </w:pPr>
      <w:r>
        <w:rPr>
          <w:rFonts w:ascii="Arial" w:hAnsi="Arial" w:cs="Arial"/>
          <w:color w:val="000000"/>
          <w:sz w:val="20"/>
          <w:szCs w:val="20"/>
        </w:rPr>
        <w:t>The DER Standards Governance Committee making recommendations for adoption of a standard, which is referred to the AEMC for a final determination, and</w:t>
      </w:r>
    </w:p>
    <w:p w14:paraId="419AE5CE" w14:textId="5BA06AE1" w:rsidR="003503EE" w:rsidRPr="003503EE" w:rsidRDefault="003503EE" w:rsidP="003503EE">
      <w:pPr>
        <w:pStyle w:val="ListParagraph"/>
        <w:numPr>
          <w:ilvl w:val="0"/>
          <w:numId w:val="16"/>
        </w:numPr>
        <w:autoSpaceDE w:val="0"/>
        <w:autoSpaceDN w:val="0"/>
        <w:adjustRightInd w:val="0"/>
        <w:spacing w:before="60" w:after="0"/>
        <w:ind w:left="714" w:hanging="357"/>
        <w:contextualSpacing w:val="0"/>
        <w:jc w:val="both"/>
        <w:rPr>
          <w:rFonts w:ascii="Arial" w:hAnsi="Arial" w:cs="Arial"/>
          <w:color w:val="000000"/>
          <w:sz w:val="20"/>
          <w:szCs w:val="20"/>
        </w:rPr>
      </w:pPr>
      <w:r>
        <w:rPr>
          <w:rFonts w:ascii="Arial" w:hAnsi="Arial" w:cs="Arial"/>
          <w:color w:val="000000"/>
          <w:sz w:val="20"/>
          <w:szCs w:val="20"/>
        </w:rPr>
        <w:t>The AEMC approving (or rejecting) recommendations made by the DER Standards Governance Committee.</w:t>
      </w:r>
    </w:p>
    <w:p w14:paraId="7C6E4A18" w14:textId="2DD711E2" w:rsidR="00AF35BE" w:rsidRDefault="003503EE" w:rsidP="004733FF">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Under this model it is proposed that the AEMC would not reject recommendations on technical grounds. The role for the AEMC would be to analyse costs, benefits and risks of proposals, the likely impact on industry and whether the proposal is in the long-term interests of energy consumers. </w:t>
      </w:r>
    </w:p>
    <w:p w14:paraId="74276E84" w14:textId="43276BD9" w:rsidR="003503EE" w:rsidRPr="003503EE" w:rsidRDefault="003503EE" w:rsidP="003503EE">
      <w:pPr>
        <w:pStyle w:val="ListParagraph"/>
        <w:numPr>
          <w:ilvl w:val="0"/>
          <w:numId w:val="13"/>
        </w:numPr>
        <w:autoSpaceDE w:val="0"/>
        <w:autoSpaceDN w:val="0"/>
        <w:adjustRightInd w:val="0"/>
        <w:spacing w:before="240" w:after="0"/>
        <w:jc w:val="both"/>
        <w:rPr>
          <w:rFonts w:ascii="Arial" w:hAnsi="Arial" w:cs="Arial"/>
          <w:b/>
          <w:bCs/>
          <w:i/>
          <w:iCs/>
          <w:color w:val="000000"/>
          <w:sz w:val="20"/>
          <w:szCs w:val="20"/>
        </w:rPr>
      </w:pPr>
      <w:r>
        <w:rPr>
          <w:rFonts w:ascii="Arial" w:hAnsi="Arial" w:cs="Arial"/>
          <w:b/>
          <w:bCs/>
          <w:i/>
          <w:iCs/>
          <w:color w:val="000000"/>
          <w:sz w:val="20"/>
          <w:szCs w:val="20"/>
        </w:rPr>
        <w:t>Do you have any feedback on the proposed functions of the DER Standards Governance Committee?</w:t>
      </w:r>
    </w:p>
    <w:p w14:paraId="346F5AEF" w14:textId="46090F9B" w:rsidR="003503EE" w:rsidRDefault="001F5A25" w:rsidP="004733FF">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Recently, some policy makers have seemed to assume that ‘DER integration’ means coming up with new standards for inverters and then thinking about how to enforce them. However, device standards are just one aspect of DER integration. Equally important, is the governance of rules and regulations for distribution network service providers (DNSPs) and governance of compliance and enforcement across </w:t>
      </w:r>
      <w:r w:rsidR="006242BB">
        <w:rPr>
          <w:rFonts w:ascii="Arial" w:hAnsi="Arial" w:cs="Arial"/>
          <w:color w:val="000000"/>
          <w:sz w:val="20"/>
          <w:szCs w:val="20"/>
        </w:rPr>
        <w:t xml:space="preserve">devices, DNSPs, installers and across </w:t>
      </w:r>
      <w:r>
        <w:rPr>
          <w:rFonts w:ascii="Arial" w:hAnsi="Arial" w:cs="Arial"/>
          <w:color w:val="000000"/>
          <w:sz w:val="20"/>
          <w:szCs w:val="20"/>
        </w:rPr>
        <w:t>jurisdictions.</w:t>
      </w:r>
    </w:p>
    <w:p w14:paraId="5F13E0CE" w14:textId="172D6492" w:rsidR="006242BB" w:rsidRDefault="006242BB" w:rsidP="001F5A25">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In some important matters related to DER integration, regulation of DNSPs is just as fragmented, if not more fragmented, than governance of device standards. </w:t>
      </w:r>
      <w:r w:rsidR="001F5A25">
        <w:rPr>
          <w:rFonts w:ascii="Arial" w:hAnsi="Arial" w:cs="Arial"/>
          <w:sz w:val="20"/>
          <w:szCs w:val="20"/>
        </w:rPr>
        <w:t>For example, the ESB review of voltage management in the low voltage networks found that “</w:t>
      </w:r>
      <w:r w:rsidR="001F5A25" w:rsidRPr="00834C35">
        <w:rPr>
          <w:rFonts w:ascii="Arial" w:hAnsi="Arial" w:cs="Arial"/>
          <w:color w:val="000000"/>
          <w:sz w:val="20"/>
          <w:szCs w:val="20"/>
        </w:rPr>
        <w:t>even in the absence of solar PV, there is a significant level of high voltage across all DNSPs in all NEM states</w:t>
      </w:r>
      <w:r w:rsidR="001F5A25">
        <w:rPr>
          <w:rFonts w:ascii="Arial" w:hAnsi="Arial" w:cs="Arial"/>
          <w:color w:val="000000"/>
          <w:sz w:val="20"/>
          <w:szCs w:val="20"/>
        </w:rPr>
        <w:t xml:space="preserve">”. Voltage management is a crucial part of DER integration and is the regulatory responsibility of state and territories. </w:t>
      </w:r>
      <w:r>
        <w:rPr>
          <w:rFonts w:ascii="Arial" w:hAnsi="Arial" w:cs="Arial"/>
          <w:color w:val="000000"/>
          <w:sz w:val="20"/>
          <w:szCs w:val="20"/>
        </w:rPr>
        <w:t xml:space="preserve">We urge the ESB to </w:t>
      </w:r>
      <w:r>
        <w:rPr>
          <w:rFonts w:ascii="Arial" w:hAnsi="Arial" w:cs="Arial"/>
          <w:color w:val="000000"/>
          <w:sz w:val="20"/>
          <w:szCs w:val="20"/>
        </w:rPr>
        <w:lastRenderedPageBreak/>
        <w:t xml:space="preserve">explicitly include all matters of importance for DER integration (such as governance of voltage regulation by DNSPs) within the scope of the </w:t>
      </w:r>
      <w:r w:rsidR="00EC1BA1">
        <w:rPr>
          <w:rFonts w:ascii="Arial" w:hAnsi="Arial" w:cs="Arial"/>
          <w:color w:val="000000"/>
          <w:sz w:val="20"/>
          <w:szCs w:val="20"/>
        </w:rPr>
        <w:t>DER Standards Governance Committee</w:t>
      </w:r>
      <w:r>
        <w:rPr>
          <w:rFonts w:ascii="Arial" w:hAnsi="Arial" w:cs="Arial"/>
          <w:color w:val="000000"/>
          <w:sz w:val="20"/>
          <w:szCs w:val="20"/>
        </w:rPr>
        <w:t>.</w:t>
      </w:r>
    </w:p>
    <w:p w14:paraId="3E6DF9E1" w14:textId="47E946CB" w:rsidR="006242BB" w:rsidRDefault="006242BB" w:rsidP="001F5A25">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An important role for the </w:t>
      </w:r>
      <w:r w:rsidR="00EC1BA1">
        <w:rPr>
          <w:rFonts w:ascii="Arial" w:hAnsi="Arial" w:cs="Arial"/>
          <w:color w:val="000000"/>
          <w:sz w:val="20"/>
          <w:szCs w:val="20"/>
        </w:rPr>
        <w:t>DER Standards Governance Committee</w:t>
      </w:r>
      <w:r>
        <w:rPr>
          <w:rFonts w:ascii="Arial" w:hAnsi="Arial" w:cs="Arial"/>
          <w:color w:val="000000"/>
          <w:sz w:val="20"/>
          <w:szCs w:val="20"/>
        </w:rPr>
        <w:t xml:space="preserve"> will be to ensure that rules and standards are transparent and accessible and that the processes to develop them are transparent and accountable. A limitation of the Standards Australia process is its reliance on Non-Disclosure Agreements as a standard practice for its committees</w:t>
      </w:r>
      <w:r w:rsidR="00CD2352">
        <w:rPr>
          <w:rFonts w:ascii="Arial" w:hAnsi="Arial" w:cs="Arial"/>
          <w:color w:val="000000"/>
          <w:sz w:val="20"/>
          <w:szCs w:val="20"/>
        </w:rPr>
        <w:t xml:space="preserve"> and procedures. Representatives appointed to the </w:t>
      </w:r>
      <w:r w:rsidR="00EC1BA1">
        <w:rPr>
          <w:rFonts w:ascii="Arial" w:hAnsi="Arial" w:cs="Arial"/>
          <w:color w:val="000000"/>
          <w:sz w:val="20"/>
          <w:szCs w:val="20"/>
        </w:rPr>
        <w:t>DER Standards Governance Committee</w:t>
      </w:r>
      <w:r w:rsidR="00CD2352">
        <w:rPr>
          <w:rFonts w:ascii="Arial" w:hAnsi="Arial" w:cs="Arial"/>
          <w:color w:val="000000"/>
          <w:sz w:val="20"/>
          <w:szCs w:val="20"/>
        </w:rPr>
        <w:t xml:space="preserve"> must be free to share information with the people they are meant to represent.</w:t>
      </w:r>
    </w:p>
    <w:p w14:paraId="5F7B2064" w14:textId="606E787C" w:rsidR="00A86CBB" w:rsidRDefault="00A86CBB" w:rsidP="001F5A25">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There is currently a significant gap regarding the interpretation of standards. Sometimes standards are ambiguous and there can be several valid interpretations. Differences of opinion can arise when electrical inspectors differ in their interpretation. Disputes are often referred to the CEC, but we do not have the authority to make interpretations that would bind an inspector. CEC has occasionally written to the Electrical Regulatory Authorities Council (ERAC) requesting interpretation of standards, but it is not clear that this is or should be the role of ERAC. Recently, the CEC has also approached the Australian Building Codes Board (ABCB) regarding interpretation of standards. The DER Standards Governance Committee should be given responsibility for issuing interpretations of standards where there is ambiguity or differences of opinion among electrical inspectors. Ideally, the interpretation would be binding on electrical inspectors and other regulators. There should also be a process that allows industry or regulators to request clarification regarding interpretation of standards from the DER Technical Standards Governance Committee. </w:t>
      </w:r>
    </w:p>
    <w:p w14:paraId="1BEEFC81" w14:textId="7D724C18" w:rsidR="001F5A25" w:rsidRPr="00CD2352" w:rsidRDefault="006242BB" w:rsidP="006242BB">
      <w:pPr>
        <w:pStyle w:val="ListParagraph"/>
        <w:numPr>
          <w:ilvl w:val="0"/>
          <w:numId w:val="13"/>
        </w:numPr>
        <w:autoSpaceDE w:val="0"/>
        <w:autoSpaceDN w:val="0"/>
        <w:adjustRightInd w:val="0"/>
        <w:spacing w:before="240" w:after="0"/>
        <w:ind w:left="714" w:hanging="357"/>
        <w:jc w:val="both"/>
        <w:rPr>
          <w:rFonts w:ascii="Arial" w:hAnsi="Arial" w:cs="Arial"/>
          <w:b/>
          <w:bCs/>
          <w:i/>
          <w:iCs/>
          <w:color w:val="000000"/>
          <w:sz w:val="20"/>
          <w:szCs w:val="20"/>
        </w:rPr>
      </w:pPr>
      <w:r w:rsidRPr="00CD2352">
        <w:rPr>
          <w:rFonts w:ascii="Arial" w:hAnsi="Arial" w:cs="Arial"/>
          <w:b/>
          <w:bCs/>
          <w:i/>
          <w:iCs/>
          <w:color w:val="000000"/>
          <w:sz w:val="20"/>
          <w:szCs w:val="20"/>
        </w:rPr>
        <w:t xml:space="preserve">Do you have any feedback about the Committee determining standards </w:t>
      </w:r>
      <w:r w:rsidR="00CD2352" w:rsidRPr="00CD2352">
        <w:rPr>
          <w:rFonts w:ascii="Arial" w:hAnsi="Arial" w:cs="Arial"/>
          <w:b/>
          <w:bCs/>
          <w:i/>
          <w:iCs/>
          <w:color w:val="000000"/>
          <w:sz w:val="20"/>
          <w:szCs w:val="20"/>
        </w:rPr>
        <w:t>in a subsidiary instrument under the rules?</w:t>
      </w:r>
    </w:p>
    <w:p w14:paraId="1BF8441F" w14:textId="6A30FDD4" w:rsidR="001F5A25" w:rsidRDefault="00CD2352" w:rsidP="00CD2352">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Transparency and accessibility of rules and standards is of utmost importance and if the use of a subsidiary instrument makes rules and standards opaque then this approach should be rejected.</w:t>
      </w:r>
    </w:p>
    <w:p w14:paraId="4CA482EC" w14:textId="3C784191" w:rsidR="00B659E3" w:rsidRDefault="00CD2352" w:rsidP="00CD2352">
      <w:pPr>
        <w:spacing w:before="120" w:after="0"/>
        <w:jc w:val="both"/>
        <w:rPr>
          <w:rFonts w:ascii="Arial" w:hAnsi="Arial" w:cs="Arial"/>
          <w:color w:val="000000"/>
          <w:sz w:val="20"/>
          <w:szCs w:val="20"/>
        </w:rPr>
      </w:pPr>
      <w:r>
        <w:rPr>
          <w:rFonts w:ascii="Arial" w:hAnsi="Arial" w:cs="Arial"/>
          <w:color w:val="000000"/>
          <w:sz w:val="20"/>
          <w:szCs w:val="20"/>
        </w:rPr>
        <w:t xml:space="preserve">For example, the DER Technical Standard rule change proposed by AEMO (and currently under review by the AEMC) proposed a subsidiary instrument that would insert </w:t>
      </w:r>
      <w:r w:rsidR="00B659E3">
        <w:rPr>
          <w:rFonts w:ascii="Arial" w:hAnsi="Arial" w:cs="Arial"/>
          <w:color w:val="000000"/>
          <w:sz w:val="20"/>
          <w:szCs w:val="20"/>
        </w:rPr>
        <w:t xml:space="preserve">minimum </w:t>
      </w:r>
      <w:r>
        <w:rPr>
          <w:rFonts w:ascii="Arial" w:hAnsi="Arial" w:cs="Arial"/>
          <w:color w:val="000000"/>
          <w:sz w:val="20"/>
          <w:szCs w:val="20"/>
        </w:rPr>
        <w:t xml:space="preserve">DER technical </w:t>
      </w:r>
      <w:r w:rsidR="00B659E3">
        <w:rPr>
          <w:rFonts w:ascii="Arial" w:hAnsi="Arial" w:cs="Arial"/>
          <w:color w:val="000000"/>
          <w:sz w:val="20"/>
          <w:szCs w:val="20"/>
        </w:rPr>
        <w:t xml:space="preserve">standards into </w:t>
      </w:r>
      <w:r>
        <w:rPr>
          <w:rFonts w:ascii="Arial" w:hAnsi="Arial" w:cs="Arial"/>
          <w:color w:val="000000"/>
          <w:sz w:val="20"/>
          <w:szCs w:val="20"/>
        </w:rPr>
        <w:t xml:space="preserve">DNSP </w:t>
      </w:r>
      <w:r w:rsidR="00B659E3">
        <w:rPr>
          <w:rFonts w:ascii="Arial" w:hAnsi="Arial" w:cs="Arial"/>
          <w:color w:val="000000"/>
          <w:sz w:val="20"/>
          <w:szCs w:val="20"/>
        </w:rPr>
        <w:t>connection contracts</w:t>
      </w:r>
      <w:r>
        <w:rPr>
          <w:rFonts w:ascii="Arial" w:hAnsi="Arial" w:cs="Arial"/>
          <w:color w:val="000000"/>
          <w:sz w:val="20"/>
          <w:szCs w:val="20"/>
        </w:rPr>
        <w:t xml:space="preserve">. This would be a major backward step for </w:t>
      </w:r>
      <w:r w:rsidR="00B659E3">
        <w:rPr>
          <w:rFonts w:ascii="Arial" w:hAnsi="Arial" w:cs="Arial"/>
          <w:color w:val="000000"/>
          <w:sz w:val="20"/>
          <w:szCs w:val="20"/>
        </w:rPr>
        <w:t>transparency and accessibility. The CEC knows from experience the difficulty of understanding grid connection rules based on information available from connection contracts or direct contact with DNSPs. We spent more than a year collecting information from DNSPs to piece together a comprehensive set of advice on power quality requirements for grid connection of inverters. And that is just one of many requirements included in grid connection agreements.</w:t>
      </w:r>
    </w:p>
    <w:p w14:paraId="3E851251" w14:textId="0B0250B5" w:rsidR="00CD2352" w:rsidRDefault="00B659E3" w:rsidP="002D41FD">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It would be preferable for </w:t>
      </w:r>
      <w:r w:rsidR="00CD2352">
        <w:rPr>
          <w:rFonts w:ascii="Arial" w:hAnsi="Arial" w:cs="Arial"/>
          <w:color w:val="000000"/>
          <w:sz w:val="20"/>
          <w:szCs w:val="20"/>
        </w:rPr>
        <w:t>DER technical</w:t>
      </w:r>
      <w:r>
        <w:rPr>
          <w:rFonts w:ascii="Arial" w:hAnsi="Arial" w:cs="Arial"/>
          <w:color w:val="000000"/>
          <w:sz w:val="20"/>
          <w:szCs w:val="20"/>
        </w:rPr>
        <w:t xml:space="preserve"> standards to be published in the </w:t>
      </w:r>
      <w:r w:rsidR="00CD2352">
        <w:rPr>
          <w:rFonts w:ascii="Arial" w:hAnsi="Arial" w:cs="Arial"/>
          <w:color w:val="000000"/>
          <w:sz w:val="20"/>
          <w:szCs w:val="20"/>
        </w:rPr>
        <w:t>NER because that is the ‘gold standard’ for transparency and accountability</w:t>
      </w:r>
      <w:r>
        <w:rPr>
          <w:rFonts w:ascii="Arial" w:hAnsi="Arial" w:cs="Arial"/>
          <w:color w:val="000000"/>
          <w:sz w:val="20"/>
          <w:szCs w:val="20"/>
        </w:rPr>
        <w:t xml:space="preserve">. </w:t>
      </w:r>
      <w:r w:rsidR="00CD2352">
        <w:rPr>
          <w:rFonts w:ascii="Arial" w:hAnsi="Arial" w:cs="Arial"/>
          <w:color w:val="000000"/>
          <w:sz w:val="20"/>
          <w:szCs w:val="20"/>
        </w:rPr>
        <w:t>We understand that changes to the NER can take months, however that should not be an insurmountable barrier given that device manufacturers generally require 12 months for implementation of new technical standards and DNSPs generally require at least a year for new standards.</w:t>
      </w:r>
    </w:p>
    <w:p w14:paraId="596328F4" w14:textId="786F69DC" w:rsidR="004733FF" w:rsidRPr="007D5776" w:rsidRDefault="007D5776" w:rsidP="007D5776">
      <w:pPr>
        <w:pStyle w:val="ListParagraph"/>
        <w:numPr>
          <w:ilvl w:val="0"/>
          <w:numId w:val="13"/>
        </w:numPr>
        <w:autoSpaceDE w:val="0"/>
        <w:autoSpaceDN w:val="0"/>
        <w:adjustRightInd w:val="0"/>
        <w:spacing w:before="240" w:after="0"/>
        <w:jc w:val="both"/>
        <w:rPr>
          <w:rFonts w:ascii="Arial" w:hAnsi="Arial" w:cs="Arial"/>
          <w:b/>
          <w:bCs/>
          <w:i/>
          <w:iCs/>
          <w:color w:val="000000"/>
          <w:sz w:val="20"/>
          <w:szCs w:val="20"/>
        </w:rPr>
      </w:pPr>
      <w:r>
        <w:rPr>
          <w:rFonts w:ascii="Arial" w:hAnsi="Arial" w:cs="Arial"/>
          <w:b/>
          <w:bCs/>
          <w:i/>
          <w:iCs/>
          <w:color w:val="000000"/>
          <w:sz w:val="20"/>
          <w:szCs w:val="20"/>
        </w:rPr>
        <w:t>Do you have any feedback on the development of new compliance and enforcement arrangements for DER technical standards?</w:t>
      </w:r>
    </w:p>
    <w:p w14:paraId="5F3182C5" w14:textId="2C049D8B" w:rsidR="002D41FD" w:rsidRPr="00175D17" w:rsidRDefault="007D5776" w:rsidP="004733FF">
      <w:pPr>
        <w:autoSpaceDE w:val="0"/>
        <w:autoSpaceDN w:val="0"/>
        <w:adjustRightInd w:val="0"/>
        <w:spacing w:before="120" w:after="0"/>
        <w:jc w:val="both"/>
        <w:rPr>
          <w:rFonts w:ascii="Arial" w:hAnsi="Arial" w:cs="Arial"/>
          <w:color w:val="000000"/>
          <w:sz w:val="20"/>
          <w:szCs w:val="20"/>
        </w:rPr>
      </w:pPr>
      <w:r>
        <w:rPr>
          <w:rFonts w:ascii="Arial" w:hAnsi="Arial" w:cs="Arial"/>
          <w:color w:val="000000"/>
          <w:sz w:val="20"/>
          <w:szCs w:val="20"/>
        </w:rPr>
        <w:t xml:space="preserve">Much of the regulatory framework for compliance and enforcement of DER technical standards relies on the existence of the SRES for its effectiveness. The SRES is scheduled to be phased out by 2030 and the value of incentives under the scheme is progressively reduced each year. It is anticipated that as 2030 approaches and the value of the rebate is reduced closer to zero, some businesses will cease taking the rebate to avoid the compliance obligations under the SRES. There is a need for a wholistic review of the compliance and enforcement framework, particularly as it relates to DER installers and product standards, within the next few years. The </w:t>
      </w:r>
      <w:r w:rsidR="00EC1BA1">
        <w:rPr>
          <w:rFonts w:ascii="Arial" w:hAnsi="Arial" w:cs="Arial"/>
          <w:color w:val="000000"/>
          <w:sz w:val="20"/>
          <w:szCs w:val="20"/>
        </w:rPr>
        <w:t>DER Standards Governance Committee</w:t>
      </w:r>
      <w:r>
        <w:rPr>
          <w:rFonts w:ascii="Arial" w:hAnsi="Arial" w:cs="Arial"/>
          <w:color w:val="000000"/>
          <w:sz w:val="20"/>
          <w:szCs w:val="20"/>
        </w:rPr>
        <w:t xml:space="preserve"> should aim to have in place a new compliance and enforcement framework that is independent of the SRES by no later than 2025.</w:t>
      </w:r>
    </w:p>
    <w:p w14:paraId="318B50C0" w14:textId="48A5AB3E" w:rsidR="009D7806" w:rsidRDefault="009D7806" w:rsidP="00834C35">
      <w:pPr>
        <w:autoSpaceDE w:val="0"/>
        <w:autoSpaceDN w:val="0"/>
        <w:adjustRightInd w:val="0"/>
        <w:spacing w:before="120" w:after="0"/>
        <w:jc w:val="both"/>
        <w:rPr>
          <w:rFonts w:ascii="Arial" w:hAnsi="Arial" w:cs="Arial"/>
          <w:color w:val="000000"/>
          <w:sz w:val="20"/>
          <w:szCs w:val="20"/>
        </w:rPr>
      </w:pPr>
    </w:p>
    <w:p w14:paraId="05DBF7E5" w14:textId="18235E46" w:rsidR="000A0C7A" w:rsidRPr="005E2DF9" w:rsidRDefault="005E2DF9" w:rsidP="005E2DF9">
      <w:pPr>
        <w:pStyle w:val="ListParagraph"/>
        <w:numPr>
          <w:ilvl w:val="0"/>
          <w:numId w:val="13"/>
        </w:numPr>
        <w:rPr>
          <w:rFonts w:ascii="Arial" w:hAnsi="Arial" w:cs="Arial"/>
          <w:b/>
          <w:bCs/>
          <w:i/>
          <w:iCs/>
          <w:sz w:val="20"/>
          <w:szCs w:val="20"/>
        </w:rPr>
      </w:pPr>
      <w:r>
        <w:rPr>
          <w:rFonts w:ascii="Arial" w:hAnsi="Arial" w:cs="Arial"/>
          <w:b/>
          <w:bCs/>
          <w:i/>
          <w:iCs/>
          <w:sz w:val="20"/>
          <w:szCs w:val="20"/>
        </w:rPr>
        <w:t xml:space="preserve">Do you support the proposed composition of the membership and nature of chair of the Committee? </w:t>
      </w:r>
    </w:p>
    <w:p w14:paraId="17F4F7A5" w14:textId="47B9A128" w:rsidR="005E2DF9" w:rsidRDefault="005E2DF9" w:rsidP="00851561">
      <w:pPr>
        <w:spacing w:after="120"/>
        <w:jc w:val="both"/>
        <w:rPr>
          <w:rFonts w:ascii="Arial" w:hAnsi="Arial" w:cs="Arial"/>
          <w:sz w:val="20"/>
          <w:szCs w:val="20"/>
        </w:rPr>
      </w:pPr>
      <w:r>
        <w:rPr>
          <w:rFonts w:ascii="Arial" w:hAnsi="Arial" w:cs="Arial"/>
          <w:sz w:val="20"/>
          <w:szCs w:val="20"/>
        </w:rPr>
        <w:t>Yes. It is appropriate for the committee to be chaired by an independent DER expert.</w:t>
      </w:r>
    </w:p>
    <w:p w14:paraId="36AEA58F" w14:textId="77777777" w:rsidR="00851561" w:rsidRDefault="00851561" w:rsidP="00851561">
      <w:pPr>
        <w:spacing w:after="120"/>
        <w:jc w:val="both"/>
        <w:rPr>
          <w:rFonts w:ascii="Arial" w:hAnsi="Arial" w:cs="Arial"/>
          <w:sz w:val="20"/>
          <w:szCs w:val="20"/>
        </w:rPr>
      </w:pPr>
      <w:r>
        <w:rPr>
          <w:rFonts w:ascii="Arial" w:eastAsia="Times New Roman" w:hAnsi="Arial" w:cs="Arial"/>
          <w:sz w:val="20"/>
          <w:szCs w:val="20"/>
          <w:lang w:val="en-US"/>
        </w:rPr>
        <w:t>The consumer expert should be an expert in DER-specific consumer issues. The broader customer experience in respect of the electricity sector is already well protected through existing forums.</w:t>
      </w:r>
    </w:p>
    <w:p w14:paraId="44862E41" w14:textId="64B098D6" w:rsidR="00447E75" w:rsidRPr="00447E75" w:rsidRDefault="00851561" w:rsidP="00447E75">
      <w:pPr>
        <w:spacing w:after="160"/>
        <w:contextualSpacing/>
        <w:jc w:val="both"/>
        <w:rPr>
          <w:rFonts w:ascii="Arial" w:eastAsia="Times New Roman" w:hAnsi="Arial" w:cs="Arial"/>
          <w:b/>
          <w:bCs/>
          <w:sz w:val="20"/>
          <w:szCs w:val="20"/>
          <w:lang w:val="en-US"/>
        </w:rPr>
      </w:pPr>
      <w:r>
        <w:rPr>
          <w:rFonts w:ascii="Arial" w:eastAsia="Times New Roman" w:hAnsi="Arial" w:cs="Arial"/>
          <w:sz w:val="20"/>
          <w:szCs w:val="20"/>
          <w:lang w:val="en-US"/>
        </w:rPr>
        <w:t xml:space="preserve">The representation of Market Aggregators should not be limited to registered participants. As an example, there is no classification for </w:t>
      </w:r>
      <w:r w:rsidR="00713772">
        <w:rPr>
          <w:rFonts w:ascii="Arial" w:eastAsia="Times New Roman" w:hAnsi="Arial" w:cs="Arial"/>
          <w:sz w:val="20"/>
          <w:szCs w:val="20"/>
          <w:lang w:val="en-US"/>
        </w:rPr>
        <w:t>Virtual Power Plant (</w:t>
      </w:r>
      <w:r>
        <w:rPr>
          <w:rFonts w:ascii="Arial" w:eastAsia="Times New Roman" w:hAnsi="Arial" w:cs="Arial"/>
          <w:sz w:val="20"/>
          <w:szCs w:val="20"/>
          <w:lang w:val="en-US"/>
        </w:rPr>
        <w:t>VPP</w:t>
      </w:r>
      <w:r w:rsidR="00713772">
        <w:rPr>
          <w:rFonts w:ascii="Arial" w:eastAsia="Times New Roman" w:hAnsi="Arial" w:cs="Arial"/>
          <w:sz w:val="20"/>
          <w:szCs w:val="20"/>
          <w:lang w:val="en-US"/>
        </w:rPr>
        <w:t>)</w:t>
      </w:r>
      <w:r>
        <w:rPr>
          <w:rFonts w:ascii="Arial" w:eastAsia="Times New Roman" w:hAnsi="Arial" w:cs="Arial"/>
          <w:sz w:val="20"/>
          <w:szCs w:val="20"/>
          <w:lang w:val="en-US"/>
        </w:rPr>
        <w:t xml:space="preserve"> operators and many VPPs operating under the AEMO trial are doing so through the customer retailer. Third party VPP aggregators registered with AEMO through this process are not “registered participants” and so would be excluded from committee membership. This is clearly not the intended outcome as these non-registered VPP operators would have far more relevant experience for the committee.</w:t>
      </w:r>
    </w:p>
    <w:p w14:paraId="5B28E5DB" w14:textId="49F72175" w:rsidR="005E2DF9" w:rsidRPr="005E2DF9" w:rsidRDefault="005E2DF9" w:rsidP="004F2E95">
      <w:pPr>
        <w:pStyle w:val="ListParagraph"/>
        <w:numPr>
          <w:ilvl w:val="0"/>
          <w:numId w:val="13"/>
        </w:numPr>
        <w:jc w:val="both"/>
        <w:rPr>
          <w:rFonts w:ascii="Arial" w:hAnsi="Arial" w:cs="Arial"/>
          <w:b/>
          <w:bCs/>
          <w:i/>
          <w:iCs/>
          <w:sz w:val="20"/>
          <w:szCs w:val="20"/>
        </w:rPr>
      </w:pPr>
      <w:r>
        <w:rPr>
          <w:rFonts w:ascii="Arial" w:hAnsi="Arial" w:cs="Arial"/>
          <w:b/>
          <w:bCs/>
          <w:i/>
          <w:iCs/>
          <w:sz w:val="20"/>
          <w:szCs w:val="20"/>
        </w:rPr>
        <w:t>Do you support the proposed terms and selection arrangements?</w:t>
      </w:r>
    </w:p>
    <w:p w14:paraId="7B1B52A6" w14:textId="344BB26C" w:rsidR="00FC39AD" w:rsidRDefault="005E2DF9" w:rsidP="004F2E95">
      <w:pPr>
        <w:spacing w:after="120"/>
        <w:jc w:val="both"/>
        <w:rPr>
          <w:rFonts w:ascii="Arial" w:hAnsi="Arial" w:cs="Arial"/>
          <w:sz w:val="20"/>
          <w:szCs w:val="20"/>
        </w:rPr>
      </w:pPr>
      <w:r>
        <w:rPr>
          <w:rFonts w:ascii="Arial" w:hAnsi="Arial" w:cs="Arial"/>
          <w:sz w:val="20"/>
          <w:szCs w:val="20"/>
        </w:rPr>
        <w:t xml:space="preserve">It will be important to ensure that members of the </w:t>
      </w:r>
      <w:r w:rsidR="00FC39AD">
        <w:rPr>
          <w:rFonts w:ascii="Arial" w:hAnsi="Arial" w:cs="Arial"/>
          <w:color w:val="000000"/>
          <w:sz w:val="20"/>
          <w:szCs w:val="20"/>
        </w:rPr>
        <w:t xml:space="preserve">DER Standards Governance Committee </w:t>
      </w:r>
      <w:r>
        <w:rPr>
          <w:rFonts w:ascii="Arial" w:hAnsi="Arial" w:cs="Arial"/>
          <w:sz w:val="20"/>
          <w:szCs w:val="20"/>
        </w:rPr>
        <w:t xml:space="preserve">who are appointed as a representative of a group of stakeholders are seen by the stakeholder group as having legitimacy </w:t>
      </w:r>
      <w:r w:rsidR="00E43059">
        <w:rPr>
          <w:rFonts w:ascii="Arial" w:hAnsi="Arial" w:cs="Arial"/>
          <w:sz w:val="20"/>
          <w:szCs w:val="20"/>
        </w:rPr>
        <w:t xml:space="preserve">and that they fulfil </w:t>
      </w:r>
      <w:r>
        <w:rPr>
          <w:rFonts w:ascii="Arial" w:hAnsi="Arial" w:cs="Arial"/>
          <w:sz w:val="20"/>
          <w:szCs w:val="20"/>
        </w:rPr>
        <w:t xml:space="preserve">their representative role. </w:t>
      </w:r>
      <w:r w:rsidR="00FC39AD">
        <w:rPr>
          <w:rFonts w:ascii="Arial" w:hAnsi="Arial" w:cs="Arial"/>
          <w:sz w:val="20"/>
          <w:szCs w:val="20"/>
        </w:rPr>
        <w:t xml:space="preserve">Conflicts of interest (and perception of conflicts of interest) is a risk that needs to be managed. </w:t>
      </w:r>
      <w:r w:rsidR="00834F53">
        <w:rPr>
          <w:rFonts w:ascii="Arial" w:hAnsi="Arial" w:cs="Arial"/>
          <w:sz w:val="20"/>
          <w:szCs w:val="20"/>
        </w:rPr>
        <w:t>We would also recommend a Code of Conduct (or similar arrangement) for representatives to ensure that expectations are understood and to establish a benchmark for accountability.</w:t>
      </w:r>
    </w:p>
    <w:p w14:paraId="62251C82" w14:textId="69D2D0E1" w:rsidR="005E2DF9" w:rsidRDefault="00FC39AD" w:rsidP="004F2E95">
      <w:pPr>
        <w:spacing w:before="120" w:after="0"/>
        <w:jc w:val="both"/>
        <w:rPr>
          <w:rFonts w:ascii="Arial" w:hAnsi="Arial" w:cs="Arial"/>
          <w:color w:val="000000"/>
          <w:sz w:val="20"/>
          <w:szCs w:val="20"/>
        </w:rPr>
      </w:pPr>
      <w:r>
        <w:rPr>
          <w:rFonts w:ascii="Arial" w:hAnsi="Arial" w:cs="Arial"/>
          <w:sz w:val="20"/>
          <w:szCs w:val="20"/>
        </w:rPr>
        <w:t xml:space="preserve">The CEC has a deep understanding and extensive experience in matters of representation, consultation and managing real or perceived conflicts of interest. We would be pleased to advise on or more actively assist with the selection of representatives to the </w:t>
      </w:r>
      <w:r>
        <w:rPr>
          <w:rFonts w:ascii="Arial" w:hAnsi="Arial" w:cs="Arial"/>
          <w:color w:val="000000"/>
          <w:sz w:val="20"/>
          <w:szCs w:val="20"/>
        </w:rPr>
        <w:t>DER Standards Governance Committee.</w:t>
      </w:r>
    </w:p>
    <w:p w14:paraId="1E1DF99D" w14:textId="174EE429" w:rsidR="005E2DF9" w:rsidRDefault="00FC39AD" w:rsidP="004F2E95">
      <w:pPr>
        <w:spacing w:before="120" w:after="0"/>
        <w:jc w:val="both"/>
        <w:rPr>
          <w:rFonts w:ascii="Arial" w:hAnsi="Arial" w:cs="Arial"/>
          <w:sz w:val="20"/>
          <w:szCs w:val="20"/>
        </w:rPr>
      </w:pPr>
      <w:r>
        <w:rPr>
          <w:rFonts w:ascii="Arial" w:hAnsi="Arial" w:cs="Arial"/>
          <w:sz w:val="20"/>
          <w:szCs w:val="20"/>
        </w:rPr>
        <w:t>It would be preferable for an industry representative to be supported by at least half of the industry they represent. The one-third benchmark proposed might be better as a ‘fall back’ position if no single candidate is supported by a majority. Crucial to this process will be the criteria for who is eligible to cast a vote.</w:t>
      </w:r>
    </w:p>
    <w:p w14:paraId="458B0558" w14:textId="0A408621" w:rsidR="00447E75" w:rsidRPr="00447E75" w:rsidRDefault="00FC39AD" w:rsidP="00447E75">
      <w:pPr>
        <w:pStyle w:val="ListParagraph"/>
        <w:numPr>
          <w:ilvl w:val="0"/>
          <w:numId w:val="13"/>
        </w:numPr>
        <w:spacing w:before="240" w:after="0"/>
        <w:ind w:left="714" w:hanging="357"/>
        <w:contextualSpacing w:val="0"/>
        <w:jc w:val="both"/>
        <w:rPr>
          <w:rFonts w:ascii="Arial" w:hAnsi="Arial" w:cs="Arial"/>
          <w:b/>
          <w:bCs/>
          <w:i/>
          <w:iCs/>
          <w:sz w:val="20"/>
          <w:szCs w:val="20"/>
        </w:rPr>
      </w:pPr>
      <w:r w:rsidRPr="00FC39AD">
        <w:rPr>
          <w:rFonts w:ascii="Arial" w:hAnsi="Arial" w:cs="Arial"/>
          <w:b/>
          <w:bCs/>
          <w:i/>
          <w:iCs/>
          <w:sz w:val="20"/>
          <w:szCs w:val="20"/>
        </w:rPr>
        <w:t>Do you have any feedback on the other elements of the proposed operation of the Committee?</w:t>
      </w:r>
    </w:p>
    <w:p w14:paraId="52A94064" w14:textId="68664D2B" w:rsidR="00447E75" w:rsidRDefault="00447E75" w:rsidP="004F2E95">
      <w:pPr>
        <w:spacing w:before="120" w:after="120"/>
        <w:jc w:val="both"/>
        <w:rPr>
          <w:rFonts w:ascii="Arial" w:eastAsia="Times New Roman" w:hAnsi="Arial" w:cs="Arial"/>
          <w:sz w:val="20"/>
          <w:szCs w:val="20"/>
          <w:lang w:eastAsia="en-GB"/>
        </w:rPr>
      </w:pPr>
      <w:r>
        <w:rPr>
          <w:rFonts w:ascii="Arial" w:eastAsia="Times New Roman" w:hAnsi="Arial" w:cs="Arial"/>
          <w:sz w:val="20"/>
          <w:szCs w:val="20"/>
          <w:lang w:eastAsia="en-GB"/>
        </w:rPr>
        <w:t>It will be important for the scope of “DER” to</w:t>
      </w:r>
      <w:r w:rsidRPr="00050B90">
        <w:rPr>
          <w:rFonts w:ascii="Arial" w:hAnsi="Arial" w:cs="Arial"/>
          <w:sz w:val="20"/>
          <w:szCs w:val="20"/>
        </w:rPr>
        <w:t xml:space="preserve"> include load and generation. </w:t>
      </w:r>
      <w:r>
        <w:rPr>
          <w:rFonts w:ascii="Arial" w:hAnsi="Arial" w:cs="Arial"/>
          <w:sz w:val="20"/>
          <w:szCs w:val="20"/>
        </w:rPr>
        <w:t xml:space="preserve">Some processes for management of DER have only taken account of generation and storage (e.g. the DER register). However, control of generation is only one part of the challenge. </w:t>
      </w:r>
      <w:r w:rsidRPr="00050B90">
        <w:rPr>
          <w:rFonts w:ascii="Arial" w:hAnsi="Arial" w:cs="Arial"/>
          <w:sz w:val="20"/>
          <w:szCs w:val="20"/>
        </w:rPr>
        <w:t xml:space="preserve">Interoperability must ultimately </w:t>
      </w:r>
      <w:r>
        <w:rPr>
          <w:rFonts w:ascii="Arial" w:hAnsi="Arial" w:cs="Arial"/>
          <w:sz w:val="20"/>
          <w:szCs w:val="20"/>
        </w:rPr>
        <w:t>include both generation and load</w:t>
      </w:r>
      <w:r w:rsidRPr="00050B90">
        <w:rPr>
          <w:rFonts w:ascii="Arial" w:hAnsi="Arial" w:cs="Arial"/>
          <w:sz w:val="20"/>
          <w:szCs w:val="20"/>
        </w:rPr>
        <w:t xml:space="preserve">. </w:t>
      </w:r>
      <w:r>
        <w:rPr>
          <w:rFonts w:ascii="Arial" w:hAnsi="Arial" w:cs="Arial"/>
          <w:sz w:val="20"/>
          <w:szCs w:val="20"/>
        </w:rPr>
        <w:t xml:space="preserve">This will be crucial for managing the </w:t>
      </w:r>
      <w:r w:rsidRPr="00050B90">
        <w:rPr>
          <w:rFonts w:ascii="Arial" w:hAnsi="Arial" w:cs="Arial"/>
          <w:sz w:val="20"/>
          <w:szCs w:val="20"/>
        </w:rPr>
        <w:t>net balance</w:t>
      </w:r>
      <w:r>
        <w:rPr>
          <w:rFonts w:ascii="Arial" w:hAnsi="Arial" w:cs="Arial"/>
          <w:sz w:val="20"/>
          <w:szCs w:val="20"/>
        </w:rPr>
        <w:t xml:space="preserve"> of customer generation and load. We must not lose sight of </w:t>
      </w:r>
      <w:r w:rsidRPr="00050B90">
        <w:rPr>
          <w:rFonts w:ascii="Arial" w:hAnsi="Arial" w:cs="Arial"/>
          <w:sz w:val="20"/>
          <w:szCs w:val="20"/>
        </w:rPr>
        <w:t>customers</w:t>
      </w:r>
      <w:r>
        <w:rPr>
          <w:rFonts w:ascii="Arial" w:hAnsi="Arial" w:cs="Arial"/>
          <w:sz w:val="20"/>
          <w:szCs w:val="20"/>
        </w:rPr>
        <w:t xml:space="preserve"> and the way they use electricity</w:t>
      </w:r>
      <w:r w:rsidRPr="00050B90">
        <w:rPr>
          <w:rFonts w:ascii="Arial" w:hAnsi="Arial" w:cs="Arial"/>
          <w:sz w:val="20"/>
          <w:szCs w:val="20"/>
        </w:rPr>
        <w:t>.</w:t>
      </w:r>
    </w:p>
    <w:p w14:paraId="0FC63CD5" w14:textId="62111CCE" w:rsidR="00FC39AD" w:rsidRPr="004F2E95" w:rsidRDefault="004F2E95" w:rsidP="004F2E95">
      <w:pPr>
        <w:spacing w:before="120" w:after="120"/>
        <w:jc w:val="both"/>
        <w:rPr>
          <w:rFonts w:ascii="Arial" w:eastAsia="Times New Roman" w:hAnsi="Arial" w:cs="Arial"/>
          <w:sz w:val="20"/>
          <w:szCs w:val="20"/>
          <w:lang w:eastAsia="en-GB"/>
        </w:rPr>
      </w:pPr>
      <w:r>
        <w:rPr>
          <w:rFonts w:ascii="Arial" w:eastAsia="Times New Roman" w:hAnsi="Arial" w:cs="Arial"/>
          <w:sz w:val="20"/>
          <w:szCs w:val="20"/>
          <w:lang w:eastAsia="en-GB"/>
        </w:rPr>
        <w:t xml:space="preserve">In the next stage of consultation, we would welcome further clarification of the process of budget allocation to and by the </w:t>
      </w:r>
      <w:r>
        <w:rPr>
          <w:rFonts w:ascii="Arial" w:hAnsi="Arial" w:cs="Arial"/>
          <w:color w:val="000000"/>
          <w:sz w:val="20"/>
          <w:szCs w:val="20"/>
        </w:rPr>
        <w:t xml:space="preserve">DER Standards Governance Committee. One of the main issues with the </w:t>
      </w:r>
      <w:r w:rsidRPr="004F2E95">
        <w:rPr>
          <w:rFonts w:ascii="Arial" w:hAnsi="Arial" w:cs="Arial"/>
          <w:color w:val="000000"/>
          <w:sz w:val="20"/>
          <w:szCs w:val="20"/>
        </w:rPr>
        <w:t>current process of standards development is that it relies on volunteers and is inevitably dominated by well-resourced companies and regulated entities.</w:t>
      </w:r>
    </w:p>
    <w:p w14:paraId="424112BE" w14:textId="37AB58C4" w:rsidR="00447E75" w:rsidRPr="00447E75" w:rsidRDefault="004F2E95" w:rsidP="004F2E95">
      <w:pPr>
        <w:spacing w:before="120" w:after="120"/>
        <w:jc w:val="both"/>
        <w:rPr>
          <w:rFonts w:ascii="Arial" w:hAnsi="Arial" w:cs="Arial"/>
          <w:color w:val="FF0000"/>
          <w:sz w:val="20"/>
          <w:szCs w:val="20"/>
        </w:rPr>
      </w:pPr>
      <w:r w:rsidRPr="004F2E95">
        <w:rPr>
          <w:rFonts w:ascii="Arial" w:eastAsia="Times New Roman" w:hAnsi="Arial" w:cs="Arial"/>
          <w:sz w:val="20"/>
          <w:szCs w:val="20"/>
          <w:lang w:eastAsia="en-GB"/>
        </w:rPr>
        <w:t>We would also welcome further elaboration on the proposed consensus decision making process</w:t>
      </w:r>
      <w:r>
        <w:rPr>
          <w:rFonts w:ascii="Arial" w:eastAsia="Times New Roman" w:hAnsi="Arial" w:cs="Arial"/>
          <w:sz w:val="20"/>
          <w:szCs w:val="20"/>
          <w:lang w:eastAsia="en-GB"/>
        </w:rPr>
        <w:t xml:space="preserve">, noting that ‘consensus’ is sometimes interpreted as unanimity and sometimes is taken to mean a vote won by a significant majority. </w:t>
      </w:r>
      <w:r w:rsidR="00447E75">
        <w:rPr>
          <w:rFonts w:ascii="Arial" w:eastAsia="Times New Roman" w:hAnsi="Arial" w:cs="Arial"/>
          <w:sz w:val="20"/>
          <w:szCs w:val="20"/>
          <w:lang w:eastAsia="en-GB"/>
        </w:rPr>
        <w:t xml:space="preserve">If the </w:t>
      </w:r>
      <w:r w:rsidR="00447E75">
        <w:rPr>
          <w:rFonts w:ascii="Arial" w:hAnsi="Arial" w:cs="Arial"/>
          <w:color w:val="000000"/>
          <w:sz w:val="20"/>
          <w:szCs w:val="20"/>
        </w:rPr>
        <w:t>DER Standards Governance Committee</w:t>
      </w:r>
      <w:r w:rsidR="00447E75">
        <w:rPr>
          <w:rFonts w:ascii="Arial" w:hAnsi="Arial" w:cs="Arial"/>
          <w:color w:val="000000"/>
          <w:sz w:val="20"/>
          <w:szCs w:val="20"/>
        </w:rPr>
        <w:t xml:space="preserve"> makes decisions by a majority vote, then we would be concerned that only several of the proposed Committee members would be from the DER industry and representing its interests. However, we would be less concerned about the numerical composition if the Committee is expected and required to seek compromise to reach a unanimous agreement. </w:t>
      </w:r>
    </w:p>
    <w:p w14:paraId="61C7BE3E" w14:textId="77777777" w:rsidR="00851561" w:rsidRPr="00E51F48" w:rsidRDefault="00851561" w:rsidP="00E51F48">
      <w:pPr>
        <w:jc w:val="both"/>
        <w:rPr>
          <w:rFonts w:ascii="Arial" w:hAnsi="Arial" w:cs="Arial"/>
          <w:sz w:val="20"/>
          <w:szCs w:val="20"/>
        </w:rPr>
      </w:pPr>
    </w:p>
    <w:sectPr w:rsidR="00851561" w:rsidRPr="00E51F48">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4F760C" w14:textId="77777777" w:rsidR="00FF4139" w:rsidRDefault="00FF4139" w:rsidP="00285B02">
      <w:pPr>
        <w:spacing w:after="0" w:line="240" w:lineRule="auto"/>
      </w:pPr>
      <w:r>
        <w:separator/>
      </w:r>
    </w:p>
  </w:endnote>
  <w:endnote w:type="continuationSeparator" w:id="0">
    <w:p w14:paraId="034ACFB5" w14:textId="77777777" w:rsidR="00FF4139" w:rsidRDefault="00FF4139" w:rsidP="00285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rcular Std Book">
    <w:altName w:val="Calibri"/>
    <w:panose1 w:val="00000000000000000000"/>
    <w:charset w:val="00"/>
    <w:family w:val="swiss"/>
    <w:notTrueType/>
    <w:pitch w:val="variable"/>
    <w:sig w:usb0="8000002F" w:usb1="5000E47B" w:usb2="00000008"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7428792"/>
      <w:docPartObj>
        <w:docPartGallery w:val="Page Numbers (Bottom of Page)"/>
        <w:docPartUnique/>
      </w:docPartObj>
    </w:sdtPr>
    <w:sdtEndPr>
      <w:rPr>
        <w:noProof/>
        <w:sz w:val="16"/>
        <w:szCs w:val="16"/>
      </w:rPr>
    </w:sdtEndPr>
    <w:sdtContent>
      <w:p w14:paraId="2C942AAF" w14:textId="7C38AF0B" w:rsidR="001605EF" w:rsidRPr="001605EF" w:rsidRDefault="001605EF">
        <w:pPr>
          <w:pStyle w:val="Footer"/>
          <w:jc w:val="right"/>
          <w:rPr>
            <w:sz w:val="16"/>
            <w:szCs w:val="16"/>
          </w:rPr>
        </w:pPr>
        <w:r w:rsidRPr="001605EF">
          <w:rPr>
            <w:sz w:val="16"/>
            <w:szCs w:val="16"/>
          </w:rPr>
          <w:fldChar w:fldCharType="begin"/>
        </w:r>
        <w:r w:rsidRPr="001605EF">
          <w:rPr>
            <w:sz w:val="16"/>
            <w:szCs w:val="16"/>
          </w:rPr>
          <w:instrText xml:space="preserve"> PAGE   \* MERGEFORMAT </w:instrText>
        </w:r>
        <w:r w:rsidRPr="001605EF">
          <w:rPr>
            <w:sz w:val="16"/>
            <w:szCs w:val="16"/>
          </w:rPr>
          <w:fldChar w:fldCharType="separate"/>
        </w:r>
        <w:r w:rsidRPr="001605EF">
          <w:rPr>
            <w:noProof/>
            <w:sz w:val="16"/>
            <w:szCs w:val="16"/>
          </w:rPr>
          <w:t>2</w:t>
        </w:r>
        <w:r w:rsidRPr="001605EF">
          <w:rPr>
            <w:noProof/>
            <w:sz w:val="16"/>
            <w:szCs w:val="16"/>
          </w:rPr>
          <w:fldChar w:fldCharType="end"/>
        </w:r>
      </w:p>
    </w:sdtContent>
  </w:sdt>
  <w:p w14:paraId="14CFC5A2" w14:textId="77777777" w:rsidR="001605EF" w:rsidRDefault="00160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B82E2" w14:textId="77777777" w:rsidR="00FF4139" w:rsidRDefault="00FF4139" w:rsidP="00285B02">
      <w:pPr>
        <w:spacing w:after="0" w:line="240" w:lineRule="auto"/>
      </w:pPr>
      <w:r>
        <w:separator/>
      </w:r>
    </w:p>
  </w:footnote>
  <w:footnote w:type="continuationSeparator" w:id="0">
    <w:p w14:paraId="61052C71" w14:textId="77777777" w:rsidR="00FF4139" w:rsidRDefault="00FF4139" w:rsidP="00285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A3737"/>
    <w:multiLevelType w:val="hybridMultilevel"/>
    <w:tmpl w:val="1550F8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25B39"/>
    <w:multiLevelType w:val="multilevel"/>
    <w:tmpl w:val="0EBA4E58"/>
    <w:lvl w:ilvl="0">
      <w:start w:val="1"/>
      <w:numFmt w:val="decimal"/>
      <w:lvlText w:val="%1."/>
      <w:lvlJc w:val="left"/>
      <w:pPr>
        <w:tabs>
          <w:tab w:val="num" w:pos="360"/>
        </w:tabs>
        <w:ind w:left="360" w:hanging="360"/>
      </w:pPr>
      <w:rPr>
        <w:rFonts w:ascii="Calibri" w:eastAsia="Times New Roman" w:hAnsi="Calibri" w:cs="Calibri"/>
      </w:rPr>
    </w:lvl>
    <w:lvl w:ilvl="1">
      <w:numFmt w:val="decimal"/>
      <w:lvlText w:val=""/>
      <w:lvlJc w:val="left"/>
      <w:pPr>
        <w:tabs>
          <w:tab w:val="num" w:pos="1080"/>
        </w:tabs>
        <w:ind w:left="1080" w:hanging="360"/>
      </w:pPr>
      <w:rPr>
        <w:rFonts w:ascii="Wingdings" w:hAnsi="Wingdings" w:hint="default"/>
        <w:sz w:val="20"/>
      </w:rPr>
    </w:lvl>
    <w:lvl w:ilvl="2">
      <w:numFmt w:val="decimal"/>
      <w:lvlText w:val=""/>
      <w:lvlJc w:val="left"/>
      <w:pPr>
        <w:tabs>
          <w:tab w:val="num" w:pos="1800"/>
        </w:tabs>
        <w:ind w:left="1800" w:hanging="360"/>
      </w:pPr>
      <w:rPr>
        <w:rFonts w:ascii="Symbol" w:hAnsi="Symbol" w:hint="default"/>
        <w:sz w:val="20"/>
      </w:rPr>
    </w:lvl>
    <w:lvl w:ilvl="3">
      <w:start w:val="1"/>
      <w:numFmt w:val="lowerLetter"/>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Letter"/>
      <w:lvlText w:val="%6."/>
      <w:lvlJc w:val="left"/>
      <w:pPr>
        <w:tabs>
          <w:tab w:val="num" w:pos="3960"/>
        </w:tabs>
        <w:ind w:left="3960" w:hanging="360"/>
      </w:pPr>
      <w:rPr>
        <w:rFonts w:cs="Times New Roman"/>
      </w:rPr>
    </w:lvl>
    <w:lvl w:ilvl="6">
      <w:start w:val="1"/>
      <w:numFmt w:val="lowerLetter"/>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Letter"/>
      <w:lvlText w:val="%9."/>
      <w:lvlJc w:val="left"/>
      <w:pPr>
        <w:tabs>
          <w:tab w:val="num" w:pos="6120"/>
        </w:tabs>
        <w:ind w:left="6120" w:hanging="360"/>
      </w:pPr>
      <w:rPr>
        <w:rFonts w:cs="Times New Roman"/>
      </w:rPr>
    </w:lvl>
  </w:abstractNum>
  <w:abstractNum w:abstractNumId="2" w15:restartNumberingAfterBreak="0">
    <w:nsid w:val="1E9E43CE"/>
    <w:multiLevelType w:val="hybridMultilevel"/>
    <w:tmpl w:val="02864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2386E45"/>
    <w:multiLevelType w:val="hybridMultilevel"/>
    <w:tmpl w:val="50B00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26A6EE6"/>
    <w:multiLevelType w:val="multilevel"/>
    <w:tmpl w:val="826A7A98"/>
    <w:lvl w:ilvl="0">
      <w:start w:val="1"/>
      <w:numFmt w:val="bullet"/>
      <w:pStyle w:val="TableBullet"/>
      <w:lvlText w:val=""/>
      <w:lvlJc w:val="left"/>
      <w:pPr>
        <w:ind w:left="227" w:hanging="227"/>
      </w:pPr>
      <w:rPr>
        <w:rFonts w:ascii="Symbol" w:hAnsi="Symbol" w:hint="default"/>
        <w:color w:val="auto"/>
        <w:position w:val="0"/>
        <w:sz w:val="18"/>
      </w:rPr>
    </w:lvl>
    <w:lvl w:ilvl="1">
      <w:start w:val="1"/>
      <w:numFmt w:val="bullet"/>
      <w:pStyle w:val="TableBullet2"/>
      <w:lvlText w:val="–"/>
      <w:lvlJc w:val="left"/>
      <w:pPr>
        <w:ind w:left="454" w:hanging="227"/>
      </w:pPr>
      <w:rPr>
        <w:rFonts w:ascii="Circular Std Book" w:hAnsi="Circular Std Book" w:cs="Times New Roman" w:hint="default"/>
        <w:color w:val="auto"/>
        <w:position w:val="4"/>
        <w:sz w:val="18"/>
      </w:rPr>
    </w:lvl>
    <w:lvl w:ilvl="2">
      <w:start w:val="1"/>
      <w:numFmt w:val="bullet"/>
      <w:pStyle w:val="TableBullet3"/>
      <w:lvlText w:val="–"/>
      <w:lvlJc w:val="left"/>
      <w:pPr>
        <w:ind w:left="681" w:hanging="227"/>
      </w:pPr>
      <w:rPr>
        <w:rFonts w:ascii="Times New Roman" w:hAnsi="Times New Roman" w:cs="Times New Roman" w:hint="default"/>
        <w:color w:val="000000" w:themeColor="text1"/>
        <w:position w:val="0"/>
        <w:sz w:val="18"/>
      </w:rPr>
    </w:lvl>
    <w:lvl w:ilvl="3">
      <w:start w:val="1"/>
      <w:numFmt w:val="bullet"/>
      <w:pStyle w:val="TableBullet4"/>
      <w:lvlText w:val="–"/>
      <w:lvlJc w:val="left"/>
      <w:pPr>
        <w:ind w:left="908" w:hanging="227"/>
      </w:pPr>
      <w:rPr>
        <w:rFonts w:ascii="Times New Roman" w:hAnsi="Times New Roman" w:cs="Times New Roman" w:hint="default"/>
        <w:color w:val="auto"/>
      </w:rPr>
    </w:lvl>
    <w:lvl w:ilvl="4">
      <w:start w:val="1"/>
      <w:numFmt w:val="none"/>
      <w:lvlText w:val=""/>
      <w:lvlJc w:val="left"/>
      <w:pPr>
        <w:tabs>
          <w:tab w:val="num" w:pos="2098"/>
        </w:tabs>
        <w:ind w:left="1135" w:hanging="227"/>
      </w:pPr>
    </w:lvl>
    <w:lvl w:ilvl="5">
      <w:start w:val="1"/>
      <w:numFmt w:val="none"/>
      <w:lvlText w:val=""/>
      <w:lvlJc w:val="left"/>
      <w:pPr>
        <w:tabs>
          <w:tab w:val="num" w:pos="2495"/>
        </w:tabs>
        <w:ind w:left="1362" w:hanging="227"/>
      </w:pPr>
    </w:lvl>
    <w:lvl w:ilvl="6">
      <w:start w:val="1"/>
      <w:numFmt w:val="none"/>
      <w:lvlText w:val=""/>
      <w:lvlJc w:val="left"/>
      <w:pPr>
        <w:tabs>
          <w:tab w:val="num" w:pos="2892"/>
        </w:tabs>
        <w:ind w:left="1589" w:hanging="227"/>
      </w:pPr>
    </w:lvl>
    <w:lvl w:ilvl="7">
      <w:start w:val="1"/>
      <w:numFmt w:val="none"/>
      <w:lvlText w:val=""/>
      <w:lvlJc w:val="left"/>
      <w:pPr>
        <w:tabs>
          <w:tab w:val="num" w:pos="3289"/>
        </w:tabs>
        <w:ind w:left="1816" w:hanging="227"/>
      </w:pPr>
    </w:lvl>
    <w:lvl w:ilvl="8">
      <w:start w:val="1"/>
      <w:numFmt w:val="none"/>
      <w:lvlText w:val=""/>
      <w:lvlJc w:val="left"/>
      <w:pPr>
        <w:tabs>
          <w:tab w:val="num" w:pos="3686"/>
        </w:tabs>
        <w:ind w:left="2043" w:hanging="227"/>
      </w:pPr>
    </w:lvl>
  </w:abstractNum>
  <w:abstractNum w:abstractNumId="5" w15:restartNumberingAfterBreak="0">
    <w:nsid w:val="24463FA3"/>
    <w:multiLevelType w:val="hybridMultilevel"/>
    <w:tmpl w:val="09E61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D560122"/>
    <w:multiLevelType w:val="hybridMultilevel"/>
    <w:tmpl w:val="225C71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31D7471A"/>
    <w:multiLevelType w:val="hybridMultilevel"/>
    <w:tmpl w:val="E0163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30D492D"/>
    <w:multiLevelType w:val="hybridMultilevel"/>
    <w:tmpl w:val="A7608F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840593"/>
    <w:multiLevelType w:val="hybridMultilevel"/>
    <w:tmpl w:val="0A548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E793469"/>
    <w:multiLevelType w:val="hybridMultilevel"/>
    <w:tmpl w:val="CDC45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0FC7361"/>
    <w:multiLevelType w:val="hybridMultilevel"/>
    <w:tmpl w:val="4EA48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D856389"/>
    <w:multiLevelType w:val="multilevel"/>
    <w:tmpl w:val="AA8A2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E9C2BEA"/>
    <w:multiLevelType w:val="hybridMultilevel"/>
    <w:tmpl w:val="DEAC0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9DE7D70"/>
    <w:multiLevelType w:val="hybridMultilevel"/>
    <w:tmpl w:val="2856C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7E4A2943"/>
    <w:multiLevelType w:val="hybridMultilevel"/>
    <w:tmpl w:val="38BE2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F750480"/>
    <w:multiLevelType w:val="hybridMultilevel"/>
    <w:tmpl w:val="B57E0F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1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0"/>
  </w:num>
  <w:num w:numId="8">
    <w:abstractNumId w:val="15"/>
  </w:num>
  <w:num w:numId="9">
    <w:abstractNumId w:val="13"/>
  </w:num>
  <w:num w:numId="10">
    <w:abstractNumId w:val="11"/>
  </w:num>
  <w:num w:numId="11">
    <w:abstractNumId w:val="10"/>
  </w:num>
  <w:num w:numId="12">
    <w:abstractNumId w:val="9"/>
  </w:num>
  <w:num w:numId="13">
    <w:abstractNumId w:val="8"/>
  </w:num>
  <w:num w:numId="14">
    <w:abstractNumId w:val="3"/>
  </w:num>
  <w:num w:numId="15">
    <w:abstractNumId w:val="6"/>
  </w:num>
  <w:num w:numId="16">
    <w:abstractNumId w:val="2"/>
  </w:num>
  <w:num w:numId="1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936"/>
    <w:rsid w:val="0000082E"/>
    <w:rsid w:val="00005B7B"/>
    <w:rsid w:val="00013CF9"/>
    <w:rsid w:val="0001714F"/>
    <w:rsid w:val="00020D31"/>
    <w:rsid w:val="00021CBD"/>
    <w:rsid w:val="00032001"/>
    <w:rsid w:val="00033CE9"/>
    <w:rsid w:val="00033FB5"/>
    <w:rsid w:val="00034CAC"/>
    <w:rsid w:val="00042C31"/>
    <w:rsid w:val="00043B50"/>
    <w:rsid w:val="00050B90"/>
    <w:rsid w:val="00051901"/>
    <w:rsid w:val="00055890"/>
    <w:rsid w:val="00062ECB"/>
    <w:rsid w:val="00067C69"/>
    <w:rsid w:val="00080460"/>
    <w:rsid w:val="000871BE"/>
    <w:rsid w:val="000938A5"/>
    <w:rsid w:val="00095D82"/>
    <w:rsid w:val="000A0C7A"/>
    <w:rsid w:val="000A48FA"/>
    <w:rsid w:val="000B011C"/>
    <w:rsid w:val="000B497E"/>
    <w:rsid w:val="000B5DC0"/>
    <w:rsid w:val="000C6780"/>
    <w:rsid w:val="000D0783"/>
    <w:rsid w:val="000D332C"/>
    <w:rsid w:val="000E1733"/>
    <w:rsid w:val="000F0BA0"/>
    <w:rsid w:val="000F67EB"/>
    <w:rsid w:val="00100045"/>
    <w:rsid w:val="00100874"/>
    <w:rsid w:val="00104298"/>
    <w:rsid w:val="00104871"/>
    <w:rsid w:val="001100E1"/>
    <w:rsid w:val="00130027"/>
    <w:rsid w:val="00140CC7"/>
    <w:rsid w:val="001571F4"/>
    <w:rsid w:val="001605EF"/>
    <w:rsid w:val="00167C44"/>
    <w:rsid w:val="00173EB4"/>
    <w:rsid w:val="00174B9D"/>
    <w:rsid w:val="00174DB6"/>
    <w:rsid w:val="00175006"/>
    <w:rsid w:val="00175D17"/>
    <w:rsid w:val="00187BAE"/>
    <w:rsid w:val="0019088D"/>
    <w:rsid w:val="001A07F7"/>
    <w:rsid w:val="001A4749"/>
    <w:rsid w:val="001C022E"/>
    <w:rsid w:val="001E6E02"/>
    <w:rsid w:val="001F0EC5"/>
    <w:rsid w:val="001F3914"/>
    <w:rsid w:val="001F4E48"/>
    <w:rsid w:val="001F5A25"/>
    <w:rsid w:val="00201E1C"/>
    <w:rsid w:val="00204CC5"/>
    <w:rsid w:val="002056DA"/>
    <w:rsid w:val="002066FC"/>
    <w:rsid w:val="00214B70"/>
    <w:rsid w:val="00214F84"/>
    <w:rsid w:val="00224852"/>
    <w:rsid w:val="00230501"/>
    <w:rsid w:val="00232FDE"/>
    <w:rsid w:val="0023770E"/>
    <w:rsid w:val="00254BBC"/>
    <w:rsid w:val="002602E6"/>
    <w:rsid w:val="0026410E"/>
    <w:rsid w:val="00276E61"/>
    <w:rsid w:val="00281FB1"/>
    <w:rsid w:val="00282FE4"/>
    <w:rsid w:val="00285B02"/>
    <w:rsid w:val="00287CFC"/>
    <w:rsid w:val="002A6303"/>
    <w:rsid w:val="002A6CBE"/>
    <w:rsid w:val="002B1380"/>
    <w:rsid w:val="002B1639"/>
    <w:rsid w:val="002B28DF"/>
    <w:rsid w:val="002B50C8"/>
    <w:rsid w:val="002C13BD"/>
    <w:rsid w:val="002D3231"/>
    <w:rsid w:val="002D41FD"/>
    <w:rsid w:val="002E21CB"/>
    <w:rsid w:val="002F480F"/>
    <w:rsid w:val="002F7EF3"/>
    <w:rsid w:val="00301346"/>
    <w:rsid w:val="00304789"/>
    <w:rsid w:val="00304C15"/>
    <w:rsid w:val="00305DE8"/>
    <w:rsid w:val="00306713"/>
    <w:rsid w:val="00310C47"/>
    <w:rsid w:val="00311E69"/>
    <w:rsid w:val="00320655"/>
    <w:rsid w:val="00323F1A"/>
    <w:rsid w:val="003253F9"/>
    <w:rsid w:val="00330871"/>
    <w:rsid w:val="00330E03"/>
    <w:rsid w:val="00330E12"/>
    <w:rsid w:val="0033138B"/>
    <w:rsid w:val="003356F6"/>
    <w:rsid w:val="00343117"/>
    <w:rsid w:val="00345E63"/>
    <w:rsid w:val="003503EE"/>
    <w:rsid w:val="0035166A"/>
    <w:rsid w:val="003540C7"/>
    <w:rsid w:val="0036463C"/>
    <w:rsid w:val="00366D5E"/>
    <w:rsid w:val="0037013E"/>
    <w:rsid w:val="00372008"/>
    <w:rsid w:val="0037290B"/>
    <w:rsid w:val="00377141"/>
    <w:rsid w:val="0038000D"/>
    <w:rsid w:val="00380B86"/>
    <w:rsid w:val="00380D95"/>
    <w:rsid w:val="00386DC3"/>
    <w:rsid w:val="00387872"/>
    <w:rsid w:val="0039053F"/>
    <w:rsid w:val="00393C1E"/>
    <w:rsid w:val="00394973"/>
    <w:rsid w:val="00395B82"/>
    <w:rsid w:val="00395EFF"/>
    <w:rsid w:val="003A3013"/>
    <w:rsid w:val="003A6C9A"/>
    <w:rsid w:val="003B19D0"/>
    <w:rsid w:val="003C49A3"/>
    <w:rsid w:val="003D2BC7"/>
    <w:rsid w:val="003E290A"/>
    <w:rsid w:val="003E5424"/>
    <w:rsid w:val="003F3B72"/>
    <w:rsid w:val="00401221"/>
    <w:rsid w:val="004015F7"/>
    <w:rsid w:val="00407134"/>
    <w:rsid w:val="004122A7"/>
    <w:rsid w:val="00416B42"/>
    <w:rsid w:val="00421034"/>
    <w:rsid w:val="004261C1"/>
    <w:rsid w:val="00426518"/>
    <w:rsid w:val="004343CA"/>
    <w:rsid w:val="00435F1F"/>
    <w:rsid w:val="00444167"/>
    <w:rsid w:val="00445BFA"/>
    <w:rsid w:val="00447A45"/>
    <w:rsid w:val="00447E75"/>
    <w:rsid w:val="00461B90"/>
    <w:rsid w:val="00463959"/>
    <w:rsid w:val="0046451F"/>
    <w:rsid w:val="00464EEA"/>
    <w:rsid w:val="00465D69"/>
    <w:rsid w:val="004733FF"/>
    <w:rsid w:val="00496D2C"/>
    <w:rsid w:val="004A14AF"/>
    <w:rsid w:val="004B0071"/>
    <w:rsid w:val="004B215A"/>
    <w:rsid w:val="004B395A"/>
    <w:rsid w:val="004E07BC"/>
    <w:rsid w:val="004E1679"/>
    <w:rsid w:val="004E3173"/>
    <w:rsid w:val="004E58FF"/>
    <w:rsid w:val="004F2D8E"/>
    <w:rsid w:val="004F2E95"/>
    <w:rsid w:val="004F627B"/>
    <w:rsid w:val="004F6A6B"/>
    <w:rsid w:val="004F6CEC"/>
    <w:rsid w:val="00502159"/>
    <w:rsid w:val="00502257"/>
    <w:rsid w:val="005041D5"/>
    <w:rsid w:val="0050451E"/>
    <w:rsid w:val="00530866"/>
    <w:rsid w:val="00533D73"/>
    <w:rsid w:val="00537818"/>
    <w:rsid w:val="00550E35"/>
    <w:rsid w:val="00553860"/>
    <w:rsid w:val="00554918"/>
    <w:rsid w:val="00556323"/>
    <w:rsid w:val="005707F3"/>
    <w:rsid w:val="0057791A"/>
    <w:rsid w:val="0058184E"/>
    <w:rsid w:val="00592C57"/>
    <w:rsid w:val="005958D9"/>
    <w:rsid w:val="005A3AF8"/>
    <w:rsid w:val="005B0282"/>
    <w:rsid w:val="005C394A"/>
    <w:rsid w:val="005C6032"/>
    <w:rsid w:val="005D0315"/>
    <w:rsid w:val="005D1975"/>
    <w:rsid w:val="005D4CF0"/>
    <w:rsid w:val="005E09ED"/>
    <w:rsid w:val="005E2C03"/>
    <w:rsid w:val="005E2DF9"/>
    <w:rsid w:val="005E6C61"/>
    <w:rsid w:val="005F012A"/>
    <w:rsid w:val="005F40A7"/>
    <w:rsid w:val="005F4FD2"/>
    <w:rsid w:val="00600142"/>
    <w:rsid w:val="0060387A"/>
    <w:rsid w:val="0060536C"/>
    <w:rsid w:val="00607326"/>
    <w:rsid w:val="0061164E"/>
    <w:rsid w:val="00613CB8"/>
    <w:rsid w:val="006155BD"/>
    <w:rsid w:val="00617DB7"/>
    <w:rsid w:val="00622710"/>
    <w:rsid w:val="006242BB"/>
    <w:rsid w:val="006378CE"/>
    <w:rsid w:val="00642338"/>
    <w:rsid w:val="00653C44"/>
    <w:rsid w:val="006556FB"/>
    <w:rsid w:val="00660E49"/>
    <w:rsid w:val="0067173B"/>
    <w:rsid w:val="00674CF7"/>
    <w:rsid w:val="00685F42"/>
    <w:rsid w:val="00687100"/>
    <w:rsid w:val="0068768F"/>
    <w:rsid w:val="00693FF0"/>
    <w:rsid w:val="00695D3E"/>
    <w:rsid w:val="00697AF0"/>
    <w:rsid w:val="006A32B7"/>
    <w:rsid w:val="006A6259"/>
    <w:rsid w:val="006A6A3C"/>
    <w:rsid w:val="006B0722"/>
    <w:rsid w:val="006B32D4"/>
    <w:rsid w:val="006B47EA"/>
    <w:rsid w:val="006C0483"/>
    <w:rsid w:val="006D0511"/>
    <w:rsid w:val="006D6CC3"/>
    <w:rsid w:val="006D7F98"/>
    <w:rsid w:val="006E049A"/>
    <w:rsid w:val="006E0FE5"/>
    <w:rsid w:val="006E4051"/>
    <w:rsid w:val="006E50A1"/>
    <w:rsid w:val="006F7DB5"/>
    <w:rsid w:val="007020B9"/>
    <w:rsid w:val="00706688"/>
    <w:rsid w:val="00710FCD"/>
    <w:rsid w:val="00713772"/>
    <w:rsid w:val="00717F25"/>
    <w:rsid w:val="00720037"/>
    <w:rsid w:val="00722D0C"/>
    <w:rsid w:val="00725A16"/>
    <w:rsid w:val="00732170"/>
    <w:rsid w:val="007324AA"/>
    <w:rsid w:val="00735D85"/>
    <w:rsid w:val="00745820"/>
    <w:rsid w:val="00747707"/>
    <w:rsid w:val="00756CE4"/>
    <w:rsid w:val="00757810"/>
    <w:rsid w:val="00774D5D"/>
    <w:rsid w:val="0077687C"/>
    <w:rsid w:val="0077738F"/>
    <w:rsid w:val="00794D4A"/>
    <w:rsid w:val="007958CC"/>
    <w:rsid w:val="00796492"/>
    <w:rsid w:val="007A289A"/>
    <w:rsid w:val="007A647D"/>
    <w:rsid w:val="007D1A7F"/>
    <w:rsid w:val="007D1E91"/>
    <w:rsid w:val="007D485A"/>
    <w:rsid w:val="007D5776"/>
    <w:rsid w:val="007F0101"/>
    <w:rsid w:val="00803B23"/>
    <w:rsid w:val="0080583D"/>
    <w:rsid w:val="00805AEE"/>
    <w:rsid w:val="008209D5"/>
    <w:rsid w:val="008272DF"/>
    <w:rsid w:val="00834C35"/>
    <w:rsid w:val="00834F53"/>
    <w:rsid w:val="00837C45"/>
    <w:rsid w:val="0084196D"/>
    <w:rsid w:val="00844794"/>
    <w:rsid w:val="00846059"/>
    <w:rsid w:val="00851561"/>
    <w:rsid w:val="00852490"/>
    <w:rsid w:val="00864C41"/>
    <w:rsid w:val="00865176"/>
    <w:rsid w:val="00873758"/>
    <w:rsid w:val="00874973"/>
    <w:rsid w:val="00875D5D"/>
    <w:rsid w:val="0088727B"/>
    <w:rsid w:val="008A1865"/>
    <w:rsid w:val="008A316E"/>
    <w:rsid w:val="008A3BFA"/>
    <w:rsid w:val="008B1F9A"/>
    <w:rsid w:val="008B2ED7"/>
    <w:rsid w:val="008B7127"/>
    <w:rsid w:val="008C3786"/>
    <w:rsid w:val="008C6B47"/>
    <w:rsid w:val="008E1A36"/>
    <w:rsid w:val="008E540D"/>
    <w:rsid w:val="008F50FE"/>
    <w:rsid w:val="008F559E"/>
    <w:rsid w:val="008F5BFA"/>
    <w:rsid w:val="00911441"/>
    <w:rsid w:val="00923BB8"/>
    <w:rsid w:val="009314FB"/>
    <w:rsid w:val="00931B84"/>
    <w:rsid w:val="00932D49"/>
    <w:rsid w:val="00934A82"/>
    <w:rsid w:val="009361D5"/>
    <w:rsid w:val="00942CF3"/>
    <w:rsid w:val="00946649"/>
    <w:rsid w:val="00964B4C"/>
    <w:rsid w:val="00967BB4"/>
    <w:rsid w:val="00973047"/>
    <w:rsid w:val="00994A47"/>
    <w:rsid w:val="009A14F8"/>
    <w:rsid w:val="009A7C8F"/>
    <w:rsid w:val="009B7BBB"/>
    <w:rsid w:val="009C6936"/>
    <w:rsid w:val="009C6F2A"/>
    <w:rsid w:val="009D3154"/>
    <w:rsid w:val="009D7806"/>
    <w:rsid w:val="009E1EA7"/>
    <w:rsid w:val="009E2E8C"/>
    <w:rsid w:val="009E6AE7"/>
    <w:rsid w:val="009F0AB8"/>
    <w:rsid w:val="009F110E"/>
    <w:rsid w:val="009F1E92"/>
    <w:rsid w:val="009F2BAF"/>
    <w:rsid w:val="00A113E7"/>
    <w:rsid w:val="00A158BB"/>
    <w:rsid w:val="00A20929"/>
    <w:rsid w:val="00A240D5"/>
    <w:rsid w:val="00A32AB6"/>
    <w:rsid w:val="00A46B34"/>
    <w:rsid w:val="00A53EA8"/>
    <w:rsid w:val="00A5784E"/>
    <w:rsid w:val="00A6122D"/>
    <w:rsid w:val="00A61805"/>
    <w:rsid w:val="00A620A1"/>
    <w:rsid w:val="00A718A4"/>
    <w:rsid w:val="00A7676D"/>
    <w:rsid w:val="00A81E26"/>
    <w:rsid w:val="00A86CBB"/>
    <w:rsid w:val="00A9158F"/>
    <w:rsid w:val="00A976B9"/>
    <w:rsid w:val="00A97DBB"/>
    <w:rsid w:val="00AA282A"/>
    <w:rsid w:val="00AB1012"/>
    <w:rsid w:val="00AB535D"/>
    <w:rsid w:val="00AB6A04"/>
    <w:rsid w:val="00AC0A37"/>
    <w:rsid w:val="00AE2F66"/>
    <w:rsid w:val="00AE6183"/>
    <w:rsid w:val="00AE67F0"/>
    <w:rsid w:val="00AF078A"/>
    <w:rsid w:val="00AF181A"/>
    <w:rsid w:val="00AF35BE"/>
    <w:rsid w:val="00AF76A6"/>
    <w:rsid w:val="00B078B2"/>
    <w:rsid w:val="00B131C5"/>
    <w:rsid w:val="00B17303"/>
    <w:rsid w:val="00B20B06"/>
    <w:rsid w:val="00B20B42"/>
    <w:rsid w:val="00B2295B"/>
    <w:rsid w:val="00B25D19"/>
    <w:rsid w:val="00B31066"/>
    <w:rsid w:val="00B34734"/>
    <w:rsid w:val="00B41774"/>
    <w:rsid w:val="00B449DF"/>
    <w:rsid w:val="00B44A38"/>
    <w:rsid w:val="00B47AC5"/>
    <w:rsid w:val="00B55787"/>
    <w:rsid w:val="00B5636F"/>
    <w:rsid w:val="00B576DF"/>
    <w:rsid w:val="00B659E3"/>
    <w:rsid w:val="00B80BF4"/>
    <w:rsid w:val="00B84816"/>
    <w:rsid w:val="00B91261"/>
    <w:rsid w:val="00B935D0"/>
    <w:rsid w:val="00B97AE7"/>
    <w:rsid w:val="00BA176E"/>
    <w:rsid w:val="00BA5471"/>
    <w:rsid w:val="00BB1A53"/>
    <w:rsid w:val="00BB697F"/>
    <w:rsid w:val="00BB767F"/>
    <w:rsid w:val="00BD0EB7"/>
    <w:rsid w:val="00BD43FE"/>
    <w:rsid w:val="00BD5171"/>
    <w:rsid w:val="00BE4AB8"/>
    <w:rsid w:val="00BE758E"/>
    <w:rsid w:val="00BE75AC"/>
    <w:rsid w:val="00BF3D18"/>
    <w:rsid w:val="00BF4272"/>
    <w:rsid w:val="00BF6485"/>
    <w:rsid w:val="00C036C7"/>
    <w:rsid w:val="00C07010"/>
    <w:rsid w:val="00C077A5"/>
    <w:rsid w:val="00C1309A"/>
    <w:rsid w:val="00C17863"/>
    <w:rsid w:val="00C23062"/>
    <w:rsid w:val="00C27DEB"/>
    <w:rsid w:val="00C32609"/>
    <w:rsid w:val="00C3708B"/>
    <w:rsid w:val="00C37325"/>
    <w:rsid w:val="00C51C3E"/>
    <w:rsid w:val="00C53E98"/>
    <w:rsid w:val="00C54E1D"/>
    <w:rsid w:val="00C62037"/>
    <w:rsid w:val="00C67F2B"/>
    <w:rsid w:val="00C72A64"/>
    <w:rsid w:val="00C76A27"/>
    <w:rsid w:val="00C81F10"/>
    <w:rsid w:val="00C82ADD"/>
    <w:rsid w:val="00C86B26"/>
    <w:rsid w:val="00C9525B"/>
    <w:rsid w:val="00C97CA8"/>
    <w:rsid w:val="00CA05C7"/>
    <w:rsid w:val="00CA7F0C"/>
    <w:rsid w:val="00CB3593"/>
    <w:rsid w:val="00CB4AAF"/>
    <w:rsid w:val="00CC053D"/>
    <w:rsid w:val="00CC3538"/>
    <w:rsid w:val="00CD2352"/>
    <w:rsid w:val="00CE0DB7"/>
    <w:rsid w:val="00CE71BD"/>
    <w:rsid w:val="00CF5F5D"/>
    <w:rsid w:val="00CF7EB2"/>
    <w:rsid w:val="00D035A0"/>
    <w:rsid w:val="00D1098E"/>
    <w:rsid w:val="00D157DE"/>
    <w:rsid w:val="00D25F9F"/>
    <w:rsid w:val="00D33DB4"/>
    <w:rsid w:val="00D36031"/>
    <w:rsid w:val="00D374D9"/>
    <w:rsid w:val="00D40AD1"/>
    <w:rsid w:val="00D432A0"/>
    <w:rsid w:val="00D51F6B"/>
    <w:rsid w:val="00D55612"/>
    <w:rsid w:val="00D60BD4"/>
    <w:rsid w:val="00D635D8"/>
    <w:rsid w:val="00D81C08"/>
    <w:rsid w:val="00D87E3F"/>
    <w:rsid w:val="00D9404F"/>
    <w:rsid w:val="00D9522F"/>
    <w:rsid w:val="00DA01D9"/>
    <w:rsid w:val="00DA2B47"/>
    <w:rsid w:val="00DB2850"/>
    <w:rsid w:val="00DD2260"/>
    <w:rsid w:val="00DD3161"/>
    <w:rsid w:val="00DD4442"/>
    <w:rsid w:val="00DE05CC"/>
    <w:rsid w:val="00E00D50"/>
    <w:rsid w:val="00E0402B"/>
    <w:rsid w:val="00E14445"/>
    <w:rsid w:val="00E22D33"/>
    <w:rsid w:val="00E237DC"/>
    <w:rsid w:val="00E303D4"/>
    <w:rsid w:val="00E31FAA"/>
    <w:rsid w:val="00E33049"/>
    <w:rsid w:val="00E43059"/>
    <w:rsid w:val="00E4712F"/>
    <w:rsid w:val="00E51F48"/>
    <w:rsid w:val="00E545E9"/>
    <w:rsid w:val="00E55FF4"/>
    <w:rsid w:val="00E5651D"/>
    <w:rsid w:val="00E566FC"/>
    <w:rsid w:val="00E62AFD"/>
    <w:rsid w:val="00E6608B"/>
    <w:rsid w:val="00E66861"/>
    <w:rsid w:val="00E70279"/>
    <w:rsid w:val="00E70A2A"/>
    <w:rsid w:val="00E76CC9"/>
    <w:rsid w:val="00E85328"/>
    <w:rsid w:val="00E920BE"/>
    <w:rsid w:val="00EA7C9B"/>
    <w:rsid w:val="00EB4FC1"/>
    <w:rsid w:val="00EB5788"/>
    <w:rsid w:val="00EB7404"/>
    <w:rsid w:val="00EC1BA1"/>
    <w:rsid w:val="00EC4BE3"/>
    <w:rsid w:val="00EC5E69"/>
    <w:rsid w:val="00EE2EB7"/>
    <w:rsid w:val="00EE5709"/>
    <w:rsid w:val="00EF30F3"/>
    <w:rsid w:val="00EF424B"/>
    <w:rsid w:val="00EF6266"/>
    <w:rsid w:val="00EF677A"/>
    <w:rsid w:val="00EF6C50"/>
    <w:rsid w:val="00EF72C6"/>
    <w:rsid w:val="00EF734A"/>
    <w:rsid w:val="00F011D9"/>
    <w:rsid w:val="00F04FFB"/>
    <w:rsid w:val="00F215CB"/>
    <w:rsid w:val="00F26C9F"/>
    <w:rsid w:val="00F31EAA"/>
    <w:rsid w:val="00F3570F"/>
    <w:rsid w:val="00F45FA7"/>
    <w:rsid w:val="00F4794D"/>
    <w:rsid w:val="00F50285"/>
    <w:rsid w:val="00F543A4"/>
    <w:rsid w:val="00F62F88"/>
    <w:rsid w:val="00F6353B"/>
    <w:rsid w:val="00F67C6C"/>
    <w:rsid w:val="00F87AB7"/>
    <w:rsid w:val="00F93550"/>
    <w:rsid w:val="00FA432C"/>
    <w:rsid w:val="00FB0B75"/>
    <w:rsid w:val="00FB6A4C"/>
    <w:rsid w:val="00FC2130"/>
    <w:rsid w:val="00FC39AD"/>
    <w:rsid w:val="00FC3EFF"/>
    <w:rsid w:val="00FC4A99"/>
    <w:rsid w:val="00FC5EC9"/>
    <w:rsid w:val="00FD3CAF"/>
    <w:rsid w:val="00FD516C"/>
    <w:rsid w:val="00FD65C1"/>
    <w:rsid w:val="00FE2EF4"/>
    <w:rsid w:val="00FE613E"/>
    <w:rsid w:val="00FE699A"/>
    <w:rsid w:val="00FF4139"/>
    <w:rsid w:val="00FF6CD0"/>
    <w:rsid w:val="00FF6F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074AB"/>
  <w15:docId w15:val="{B7A2DCC3-7352-4DBC-9A7F-788670408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20929"/>
    <w:pPr>
      <w:keepNext/>
      <w:keepLines/>
      <w:spacing w:before="40" w:after="0" w:line="240"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576DF"/>
    <w:pPr>
      <w:ind w:left="720"/>
      <w:contextualSpacing/>
    </w:pPr>
  </w:style>
  <w:style w:type="table" w:styleId="TableGrid">
    <w:name w:val="Table Grid"/>
    <w:basedOn w:val="TableNormal"/>
    <w:uiPriority w:val="1"/>
    <w:rsid w:val="00DA01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2C31"/>
    <w:rPr>
      <w:color w:val="0000FF" w:themeColor="hyperlink"/>
      <w:u w:val="single"/>
    </w:rPr>
  </w:style>
  <w:style w:type="paragraph" w:styleId="BalloonText">
    <w:name w:val="Balloon Text"/>
    <w:basedOn w:val="Normal"/>
    <w:link w:val="BalloonTextChar"/>
    <w:uiPriority w:val="99"/>
    <w:semiHidden/>
    <w:unhideWhenUsed/>
    <w:rsid w:val="00EF72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2C6"/>
    <w:rPr>
      <w:rFonts w:ascii="Tahoma" w:hAnsi="Tahoma" w:cs="Tahoma"/>
      <w:sz w:val="16"/>
      <w:szCs w:val="16"/>
    </w:rPr>
  </w:style>
  <w:style w:type="paragraph" w:styleId="CommentText">
    <w:name w:val="annotation text"/>
    <w:basedOn w:val="Normal"/>
    <w:link w:val="CommentTextChar"/>
    <w:uiPriority w:val="99"/>
    <w:unhideWhenUsed/>
    <w:rsid w:val="00A7676D"/>
    <w:pPr>
      <w:spacing w:line="240" w:lineRule="auto"/>
    </w:pPr>
    <w:rPr>
      <w:sz w:val="20"/>
      <w:szCs w:val="20"/>
    </w:rPr>
  </w:style>
  <w:style w:type="character" w:customStyle="1" w:styleId="CommentTextChar">
    <w:name w:val="Comment Text Char"/>
    <w:basedOn w:val="DefaultParagraphFont"/>
    <w:link w:val="CommentText"/>
    <w:uiPriority w:val="99"/>
    <w:rsid w:val="00A7676D"/>
    <w:rPr>
      <w:sz w:val="20"/>
      <w:szCs w:val="20"/>
    </w:rPr>
  </w:style>
  <w:style w:type="character" w:styleId="CommentReference">
    <w:name w:val="annotation reference"/>
    <w:basedOn w:val="DefaultParagraphFont"/>
    <w:uiPriority w:val="99"/>
    <w:semiHidden/>
    <w:unhideWhenUsed/>
    <w:rsid w:val="00A7676D"/>
    <w:rPr>
      <w:sz w:val="16"/>
      <w:szCs w:val="16"/>
    </w:rPr>
  </w:style>
  <w:style w:type="paragraph" w:styleId="FootnoteText">
    <w:name w:val="footnote text"/>
    <w:basedOn w:val="Normal"/>
    <w:link w:val="FootnoteTextChar"/>
    <w:uiPriority w:val="99"/>
    <w:semiHidden/>
    <w:unhideWhenUsed/>
    <w:rsid w:val="00285B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5B02"/>
    <w:rPr>
      <w:sz w:val="20"/>
      <w:szCs w:val="20"/>
    </w:rPr>
  </w:style>
  <w:style w:type="character" w:customStyle="1" w:styleId="ListParagraphChar">
    <w:name w:val="List Paragraph Char"/>
    <w:basedOn w:val="DefaultParagraphFont"/>
    <w:link w:val="ListParagraph"/>
    <w:uiPriority w:val="34"/>
    <w:locked/>
    <w:rsid w:val="00285B02"/>
  </w:style>
  <w:style w:type="character" w:styleId="FootnoteReference">
    <w:name w:val="footnote reference"/>
    <w:basedOn w:val="DefaultParagraphFont"/>
    <w:uiPriority w:val="99"/>
    <w:semiHidden/>
    <w:unhideWhenUsed/>
    <w:rsid w:val="00285B02"/>
    <w:rPr>
      <w:vertAlign w:val="superscript"/>
    </w:rPr>
  </w:style>
  <w:style w:type="paragraph" w:customStyle="1" w:styleId="Default">
    <w:name w:val="Default"/>
    <w:rsid w:val="00F87AB7"/>
    <w:pPr>
      <w:autoSpaceDE w:val="0"/>
      <w:autoSpaceDN w:val="0"/>
      <w:adjustRightInd w:val="0"/>
      <w:spacing w:after="0" w:line="240" w:lineRule="auto"/>
    </w:pPr>
    <w:rPr>
      <w:rFonts w:ascii="Tahoma" w:hAnsi="Tahoma" w:cs="Tahoma"/>
      <w:color w:val="000000"/>
      <w:sz w:val="24"/>
      <w:szCs w:val="24"/>
    </w:rPr>
  </w:style>
  <w:style w:type="character" w:styleId="FollowedHyperlink">
    <w:name w:val="FollowedHyperlink"/>
    <w:basedOn w:val="DefaultParagraphFont"/>
    <w:uiPriority w:val="99"/>
    <w:semiHidden/>
    <w:unhideWhenUsed/>
    <w:rsid w:val="00B44A38"/>
    <w:rPr>
      <w:color w:val="800080" w:themeColor="followedHyperlink"/>
      <w:u w:val="single"/>
    </w:rPr>
  </w:style>
  <w:style w:type="paragraph" w:styleId="PlainText">
    <w:name w:val="Plain Text"/>
    <w:basedOn w:val="Normal"/>
    <w:link w:val="PlainTextChar"/>
    <w:uiPriority w:val="99"/>
    <w:unhideWhenUsed/>
    <w:rsid w:val="00660E4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60E49"/>
    <w:rPr>
      <w:rFonts w:ascii="Calibri" w:hAnsi="Calibri"/>
      <w:szCs w:val="21"/>
    </w:rPr>
  </w:style>
  <w:style w:type="paragraph" w:styleId="CommentSubject">
    <w:name w:val="annotation subject"/>
    <w:basedOn w:val="CommentText"/>
    <w:next w:val="CommentText"/>
    <w:link w:val="CommentSubjectChar"/>
    <w:uiPriority w:val="99"/>
    <w:semiHidden/>
    <w:unhideWhenUsed/>
    <w:rsid w:val="006B47EA"/>
    <w:rPr>
      <w:b/>
      <w:bCs/>
    </w:rPr>
  </w:style>
  <w:style w:type="character" w:customStyle="1" w:styleId="CommentSubjectChar">
    <w:name w:val="Comment Subject Char"/>
    <w:basedOn w:val="CommentTextChar"/>
    <w:link w:val="CommentSubject"/>
    <w:uiPriority w:val="99"/>
    <w:semiHidden/>
    <w:rsid w:val="006B47EA"/>
    <w:rPr>
      <w:b/>
      <w:bCs/>
      <w:sz w:val="20"/>
      <w:szCs w:val="20"/>
    </w:rPr>
  </w:style>
  <w:style w:type="paragraph" w:styleId="NormalWeb">
    <w:name w:val="Normal (Web)"/>
    <w:basedOn w:val="Normal"/>
    <w:uiPriority w:val="99"/>
    <w:unhideWhenUsed/>
    <w:rsid w:val="00C07010"/>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1605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05EF"/>
  </w:style>
  <w:style w:type="paragraph" w:styleId="Footer">
    <w:name w:val="footer"/>
    <w:basedOn w:val="Normal"/>
    <w:link w:val="FooterChar"/>
    <w:uiPriority w:val="99"/>
    <w:unhideWhenUsed/>
    <w:rsid w:val="001605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05EF"/>
  </w:style>
  <w:style w:type="paragraph" w:styleId="BodyText">
    <w:name w:val="Body Text"/>
    <w:basedOn w:val="Normal"/>
    <w:link w:val="BodyTextChar"/>
    <w:uiPriority w:val="99"/>
    <w:semiHidden/>
    <w:unhideWhenUsed/>
    <w:qFormat/>
    <w:rsid w:val="00533D73"/>
    <w:pPr>
      <w:tabs>
        <w:tab w:val="left" w:pos="2268"/>
        <w:tab w:val="left" w:pos="4536"/>
        <w:tab w:val="left" w:pos="6804"/>
        <w:tab w:val="right" w:pos="8789"/>
      </w:tabs>
      <w:spacing w:before="180" w:after="70" w:line="280" w:lineRule="atLeast"/>
    </w:pPr>
    <w:rPr>
      <w:rFonts w:eastAsia="Times New Roman" w:cs="Times New Roman"/>
      <w:color w:val="000000" w:themeColor="text1"/>
      <w:spacing w:val="2"/>
      <w:sz w:val="21"/>
      <w:szCs w:val="21"/>
      <w:lang w:eastAsia="en-AU"/>
    </w:rPr>
  </w:style>
  <w:style w:type="character" w:customStyle="1" w:styleId="BodyTextChar">
    <w:name w:val="Body Text Char"/>
    <w:basedOn w:val="DefaultParagraphFont"/>
    <w:link w:val="BodyText"/>
    <w:uiPriority w:val="99"/>
    <w:semiHidden/>
    <w:rsid w:val="00533D73"/>
    <w:rPr>
      <w:rFonts w:eastAsia="Times New Roman" w:cs="Times New Roman"/>
      <w:color w:val="000000" w:themeColor="text1"/>
      <w:spacing w:val="2"/>
      <w:sz w:val="21"/>
      <w:szCs w:val="21"/>
      <w:lang w:eastAsia="en-AU"/>
    </w:rPr>
  </w:style>
  <w:style w:type="paragraph" w:styleId="Caption">
    <w:name w:val="caption"/>
    <w:basedOn w:val="Normal"/>
    <w:next w:val="BodyText"/>
    <w:uiPriority w:val="99"/>
    <w:unhideWhenUsed/>
    <w:qFormat/>
    <w:rsid w:val="00533D73"/>
    <w:pPr>
      <w:keepNext/>
      <w:keepLines/>
      <w:tabs>
        <w:tab w:val="left" w:pos="851"/>
      </w:tabs>
      <w:spacing w:before="320" w:after="120" w:line="280" w:lineRule="atLeast"/>
      <w:ind w:left="851" w:hanging="851"/>
    </w:pPr>
    <w:rPr>
      <w:rFonts w:asciiTheme="majorHAnsi" w:eastAsia="Times New Roman" w:hAnsiTheme="majorHAnsi" w:cs="Times New Roman"/>
      <w:bCs/>
      <w:color w:val="1F497D" w:themeColor="text2"/>
      <w:spacing w:val="2"/>
      <w:sz w:val="21"/>
      <w:szCs w:val="21"/>
      <w:lang w:eastAsia="en-AU"/>
    </w:rPr>
  </w:style>
  <w:style w:type="paragraph" w:customStyle="1" w:styleId="TableTextLeft">
    <w:name w:val="Table Text Left"/>
    <w:basedOn w:val="Normal"/>
    <w:uiPriority w:val="99"/>
    <w:qFormat/>
    <w:rsid w:val="00533D73"/>
    <w:pPr>
      <w:spacing w:before="60" w:after="60" w:line="260" w:lineRule="atLeast"/>
    </w:pPr>
    <w:rPr>
      <w:rFonts w:asciiTheme="majorHAnsi" w:eastAsia="Times New Roman" w:hAnsiTheme="majorHAnsi" w:cs="Times New Roman"/>
      <w:color w:val="000000" w:themeColor="text1"/>
      <w:spacing w:val="2"/>
      <w:sz w:val="20"/>
      <w:szCs w:val="21"/>
      <w:lang w:eastAsia="en-AU"/>
    </w:rPr>
  </w:style>
  <w:style w:type="paragraph" w:customStyle="1" w:styleId="TableHeadingLeft">
    <w:name w:val="Table Heading Left"/>
    <w:basedOn w:val="TableTextLeft"/>
    <w:uiPriority w:val="99"/>
    <w:qFormat/>
    <w:rsid w:val="00533D73"/>
  </w:style>
  <w:style w:type="paragraph" w:customStyle="1" w:styleId="TableBullet">
    <w:name w:val="Table Bullet"/>
    <w:basedOn w:val="TableTextLeft"/>
    <w:uiPriority w:val="99"/>
    <w:qFormat/>
    <w:rsid w:val="00533D73"/>
    <w:pPr>
      <w:numPr>
        <w:numId w:val="1"/>
      </w:numPr>
      <w:ind w:left="0" w:firstLine="0"/>
    </w:pPr>
  </w:style>
  <w:style w:type="paragraph" w:customStyle="1" w:styleId="TableBullet2">
    <w:name w:val="Table Bullet 2"/>
    <w:basedOn w:val="TableBullet"/>
    <w:uiPriority w:val="99"/>
    <w:qFormat/>
    <w:rsid w:val="00533D73"/>
    <w:pPr>
      <w:numPr>
        <w:ilvl w:val="1"/>
      </w:numPr>
    </w:pPr>
  </w:style>
  <w:style w:type="paragraph" w:customStyle="1" w:styleId="TableBullet3">
    <w:name w:val="Table Bullet 3"/>
    <w:basedOn w:val="TableBullet2"/>
    <w:uiPriority w:val="99"/>
    <w:qFormat/>
    <w:rsid w:val="00533D73"/>
    <w:pPr>
      <w:numPr>
        <w:ilvl w:val="2"/>
      </w:numPr>
    </w:pPr>
  </w:style>
  <w:style w:type="paragraph" w:customStyle="1" w:styleId="TableBullet4">
    <w:name w:val="Table Bullet 4"/>
    <w:basedOn w:val="TableTextLeft"/>
    <w:uiPriority w:val="99"/>
    <w:rsid w:val="00533D73"/>
    <w:pPr>
      <w:numPr>
        <w:ilvl w:val="3"/>
        <w:numId w:val="1"/>
      </w:numPr>
      <w:ind w:left="0" w:firstLine="0"/>
    </w:pPr>
  </w:style>
  <w:style w:type="character" w:styleId="UnresolvedMention">
    <w:name w:val="Unresolved Mention"/>
    <w:basedOn w:val="DefaultParagraphFont"/>
    <w:uiPriority w:val="99"/>
    <w:semiHidden/>
    <w:unhideWhenUsed/>
    <w:rsid w:val="00A5784E"/>
    <w:rPr>
      <w:color w:val="605E5C"/>
      <w:shd w:val="clear" w:color="auto" w:fill="E1DFDD"/>
    </w:rPr>
  </w:style>
  <w:style w:type="character" w:customStyle="1" w:styleId="Heading2Char">
    <w:name w:val="Heading 2 Char"/>
    <w:basedOn w:val="DefaultParagraphFont"/>
    <w:link w:val="Heading2"/>
    <w:uiPriority w:val="9"/>
    <w:semiHidden/>
    <w:rsid w:val="00A20929"/>
    <w:rPr>
      <w:rFonts w:asciiTheme="majorHAnsi" w:eastAsiaTheme="majorEastAsia" w:hAnsiTheme="majorHAnsi" w:cstheme="majorBidi"/>
      <w:color w:val="365F91" w:themeColor="accent1" w:themeShade="BF"/>
      <w:sz w:val="26"/>
      <w:szCs w:val="26"/>
    </w:rPr>
  </w:style>
  <w:style w:type="character" w:customStyle="1" w:styleId="l11">
    <w:name w:val="l11"/>
    <w:basedOn w:val="DefaultParagraphFont"/>
    <w:rsid w:val="000A0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71854">
      <w:bodyDiv w:val="1"/>
      <w:marLeft w:val="0"/>
      <w:marRight w:val="0"/>
      <w:marTop w:val="0"/>
      <w:marBottom w:val="0"/>
      <w:divBdr>
        <w:top w:val="none" w:sz="0" w:space="0" w:color="auto"/>
        <w:left w:val="none" w:sz="0" w:space="0" w:color="auto"/>
        <w:bottom w:val="none" w:sz="0" w:space="0" w:color="auto"/>
        <w:right w:val="none" w:sz="0" w:space="0" w:color="auto"/>
      </w:divBdr>
    </w:div>
    <w:div w:id="28772514">
      <w:bodyDiv w:val="1"/>
      <w:marLeft w:val="0"/>
      <w:marRight w:val="0"/>
      <w:marTop w:val="0"/>
      <w:marBottom w:val="0"/>
      <w:divBdr>
        <w:top w:val="none" w:sz="0" w:space="0" w:color="auto"/>
        <w:left w:val="none" w:sz="0" w:space="0" w:color="auto"/>
        <w:bottom w:val="none" w:sz="0" w:space="0" w:color="auto"/>
        <w:right w:val="none" w:sz="0" w:space="0" w:color="auto"/>
      </w:divBdr>
    </w:div>
    <w:div w:id="61685611">
      <w:bodyDiv w:val="1"/>
      <w:marLeft w:val="0"/>
      <w:marRight w:val="0"/>
      <w:marTop w:val="0"/>
      <w:marBottom w:val="0"/>
      <w:divBdr>
        <w:top w:val="none" w:sz="0" w:space="0" w:color="auto"/>
        <w:left w:val="none" w:sz="0" w:space="0" w:color="auto"/>
        <w:bottom w:val="none" w:sz="0" w:space="0" w:color="auto"/>
        <w:right w:val="none" w:sz="0" w:space="0" w:color="auto"/>
      </w:divBdr>
    </w:div>
    <w:div w:id="185414109">
      <w:bodyDiv w:val="1"/>
      <w:marLeft w:val="0"/>
      <w:marRight w:val="0"/>
      <w:marTop w:val="0"/>
      <w:marBottom w:val="0"/>
      <w:divBdr>
        <w:top w:val="none" w:sz="0" w:space="0" w:color="auto"/>
        <w:left w:val="none" w:sz="0" w:space="0" w:color="auto"/>
        <w:bottom w:val="none" w:sz="0" w:space="0" w:color="auto"/>
        <w:right w:val="none" w:sz="0" w:space="0" w:color="auto"/>
      </w:divBdr>
    </w:div>
    <w:div w:id="226690932">
      <w:bodyDiv w:val="1"/>
      <w:marLeft w:val="0"/>
      <w:marRight w:val="0"/>
      <w:marTop w:val="0"/>
      <w:marBottom w:val="0"/>
      <w:divBdr>
        <w:top w:val="none" w:sz="0" w:space="0" w:color="auto"/>
        <w:left w:val="none" w:sz="0" w:space="0" w:color="auto"/>
        <w:bottom w:val="none" w:sz="0" w:space="0" w:color="auto"/>
        <w:right w:val="none" w:sz="0" w:space="0" w:color="auto"/>
      </w:divBdr>
    </w:div>
    <w:div w:id="276646504">
      <w:bodyDiv w:val="1"/>
      <w:marLeft w:val="0"/>
      <w:marRight w:val="0"/>
      <w:marTop w:val="0"/>
      <w:marBottom w:val="0"/>
      <w:divBdr>
        <w:top w:val="none" w:sz="0" w:space="0" w:color="auto"/>
        <w:left w:val="none" w:sz="0" w:space="0" w:color="auto"/>
        <w:bottom w:val="none" w:sz="0" w:space="0" w:color="auto"/>
        <w:right w:val="none" w:sz="0" w:space="0" w:color="auto"/>
      </w:divBdr>
    </w:div>
    <w:div w:id="289240087">
      <w:bodyDiv w:val="1"/>
      <w:marLeft w:val="0"/>
      <w:marRight w:val="0"/>
      <w:marTop w:val="0"/>
      <w:marBottom w:val="0"/>
      <w:divBdr>
        <w:top w:val="none" w:sz="0" w:space="0" w:color="auto"/>
        <w:left w:val="none" w:sz="0" w:space="0" w:color="auto"/>
        <w:bottom w:val="none" w:sz="0" w:space="0" w:color="auto"/>
        <w:right w:val="none" w:sz="0" w:space="0" w:color="auto"/>
      </w:divBdr>
      <w:divsChild>
        <w:div w:id="387193590">
          <w:marLeft w:val="547"/>
          <w:marRight w:val="0"/>
          <w:marTop w:val="0"/>
          <w:marBottom w:val="0"/>
          <w:divBdr>
            <w:top w:val="none" w:sz="0" w:space="0" w:color="auto"/>
            <w:left w:val="none" w:sz="0" w:space="0" w:color="auto"/>
            <w:bottom w:val="none" w:sz="0" w:space="0" w:color="auto"/>
            <w:right w:val="none" w:sz="0" w:space="0" w:color="auto"/>
          </w:divBdr>
        </w:div>
        <w:div w:id="171646318">
          <w:marLeft w:val="547"/>
          <w:marRight w:val="0"/>
          <w:marTop w:val="0"/>
          <w:marBottom w:val="0"/>
          <w:divBdr>
            <w:top w:val="none" w:sz="0" w:space="0" w:color="auto"/>
            <w:left w:val="none" w:sz="0" w:space="0" w:color="auto"/>
            <w:bottom w:val="none" w:sz="0" w:space="0" w:color="auto"/>
            <w:right w:val="none" w:sz="0" w:space="0" w:color="auto"/>
          </w:divBdr>
        </w:div>
        <w:div w:id="1471554003">
          <w:marLeft w:val="547"/>
          <w:marRight w:val="0"/>
          <w:marTop w:val="0"/>
          <w:marBottom w:val="0"/>
          <w:divBdr>
            <w:top w:val="none" w:sz="0" w:space="0" w:color="auto"/>
            <w:left w:val="none" w:sz="0" w:space="0" w:color="auto"/>
            <w:bottom w:val="none" w:sz="0" w:space="0" w:color="auto"/>
            <w:right w:val="none" w:sz="0" w:space="0" w:color="auto"/>
          </w:divBdr>
        </w:div>
        <w:div w:id="164396353">
          <w:marLeft w:val="547"/>
          <w:marRight w:val="0"/>
          <w:marTop w:val="0"/>
          <w:marBottom w:val="0"/>
          <w:divBdr>
            <w:top w:val="none" w:sz="0" w:space="0" w:color="auto"/>
            <w:left w:val="none" w:sz="0" w:space="0" w:color="auto"/>
            <w:bottom w:val="none" w:sz="0" w:space="0" w:color="auto"/>
            <w:right w:val="none" w:sz="0" w:space="0" w:color="auto"/>
          </w:divBdr>
        </w:div>
        <w:div w:id="1760518487">
          <w:marLeft w:val="547"/>
          <w:marRight w:val="0"/>
          <w:marTop w:val="0"/>
          <w:marBottom w:val="0"/>
          <w:divBdr>
            <w:top w:val="none" w:sz="0" w:space="0" w:color="auto"/>
            <w:left w:val="none" w:sz="0" w:space="0" w:color="auto"/>
            <w:bottom w:val="none" w:sz="0" w:space="0" w:color="auto"/>
            <w:right w:val="none" w:sz="0" w:space="0" w:color="auto"/>
          </w:divBdr>
        </w:div>
        <w:div w:id="840700198">
          <w:marLeft w:val="547"/>
          <w:marRight w:val="0"/>
          <w:marTop w:val="0"/>
          <w:marBottom w:val="0"/>
          <w:divBdr>
            <w:top w:val="none" w:sz="0" w:space="0" w:color="auto"/>
            <w:left w:val="none" w:sz="0" w:space="0" w:color="auto"/>
            <w:bottom w:val="none" w:sz="0" w:space="0" w:color="auto"/>
            <w:right w:val="none" w:sz="0" w:space="0" w:color="auto"/>
          </w:divBdr>
        </w:div>
        <w:div w:id="2073843381">
          <w:marLeft w:val="547"/>
          <w:marRight w:val="0"/>
          <w:marTop w:val="0"/>
          <w:marBottom w:val="0"/>
          <w:divBdr>
            <w:top w:val="none" w:sz="0" w:space="0" w:color="auto"/>
            <w:left w:val="none" w:sz="0" w:space="0" w:color="auto"/>
            <w:bottom w:val="none" w:sz="0" w:space="0" w:color="auto"/>
            <w:right w:val="none" w:sz="0" w:space="0" w:color="auto"/>
          </w:divBdr>
        </w:div>
        <w:div w:id="1127704092">
          <w:marLeft w:val="547"/>
          <w:marRight w:val="0"/>
          <w:marTop w:val="0"/>
          <w:marBottom w:val="0"/>
          <w:divBdr>
            <w:top w:val="none" w:sz="0" w:space="0" w:color="auto"/>
            <w:left w:val="none" w:sz="0" w:space="0" w:color="auto"/>
            <w:bottom w:val="none" w:sz="0" w:space="0" w:color="auto"/>
            <w:right w:val="none" w:sz="0" w:space="0" w:color="auto"/>
          </w:divBdr>
        </w:div>
        <w:div w:id="514421134">
          <w:marLeft w:val="547"/>
          <w:marRight w:val="0"/>
          <w:marTop w:val="0"/>
          <w:marBottom w:val="0"/>
          <w:divBdr>
            <w:top w:val="none" w:sz="0" w:space="0" w:color="auto"/>
            <w:left w:val="none" w:sz="0" w:space="0" w:color="auto"/>
            <w:bottom w:val="none" w:sz="0" w:space="0" w:color="auto"/>
            <w:right w:val="none" w:sz="0" w:space="0" w:color="auto"/>
          </w:divBdr>
        </w:div>
      </w:divsChild>
    </w:div>
    <w:div w:id="296303732">
      <w:bodyDiv w:val="1"/>
      <w:marLeft w:val="0"/>
      <w:marRight w:val="0"/>
      <w:marTop w:val="0"/>
      <w:marBottom w:val="0"/>
      <w:divBdr>
        <w:top w:val="none" w:sz="0" w:space="0" w:color="auto"/>
        <w:left w:val="none" w:sz="0" w:space="0" w:color="auto"/>
        <w:bottom w:val="none" w:sz="0" w:space="0" w:color="auto"/>
        <w:right w:val="none" w:sz="0" w:space="0" w:color="auto"/>
      </w:divBdr>
    </w:div>
    <w:div w:id="338118007">
      <w:bodyDiv w:val="1"/>
      <w:marLeft w:val="0"/>
      <w:marRight w:val="0"/>
      <w:marTop w:val="0"/>
      <w:marBottom w:val="0"/>
      <w:divBdr>
        <w:top w:val="none" w:sz="0" w:space="0" w:color="auto"/>
        <w:left w:val="none" w:sz="0" w:space="0" w:color="auto"/>
        <w:bottom w:val="none" w:sz="0" w:space="0" w:color="auto"/>
        <w:right w:val="none" w:sz="0" w:space="0" w:color="auto"/>
      </w:divBdr>
    </w:div>
    <w:div w:id="366878094">
      <w:bodyDiv w:val="1"/>
      <w:marLeft w:val="0"/>
      <w:marRight w:val="0"/>
      <w:marTop w:val="0"/>
      <w:marBottom w:val="0"/>
      <w:divBdr>
        <w:top w:val="none" w:sz="0" w:space="0" w:color="auto"/>
        <w:left w:val="none" w:sz="0" w:space="0" w:color="auto"/>
        <w:bottom w:val="none" w:sz="0" w:space="0" w:color="auto"/>
        <w:right w:val="none" w:sz="0" w:space="0" w:color="auto"/>
      </w:divBdr>
    </w:div>
    <w:div w:id="383605422">
      <w:bodyDiv w:val="1"/>
      <w:marLeft w:val="0"/>
      <w:marRight w:val="0"/>
      <w:marTop w:val="0"/>
      <w:marBottom w:val="0"/>
      <w:divBdr>
        <w:top w:val="none" w:sz="0" w:space="0" w:color="auto"/>
        <w:left w:val="none" w:sz="0" w:space="0" w:color="auto"/>
        <w:bottom w:val="none" w:sz="0" w:space="0" w:color="auto"/>
        <w:right w:val="none" w:sz="0" w:space="0" w:color="auto"/>
      </w:divBdr>
    </w:div>
    <w:div w:id="384762255">
      <w:bodyDiv w:val="1"/>
      <w:marLeft w:val="0"/>
      <w:marRight w:val="0"/>
      <w:marTop w:val="0"/>
      <w:marBottom w:val="0"/>
      <w:divBdr>
        <w:top w:val="none" w:sz="0" w:space="0" w:color="auto"/>
        <w:left w:val="none" w:sz="0" w:space="0" w:color="auto"/>
        <w:bottom w:val="none" w:sz="0" w:space="0" w:color="auto"/>
        <w:right w:val="none" w:sz="0" w:space="0" w:color="auto"/>
      </w:divBdr>
    </w:div>
    <w:div w:id="478884800">
      <w:bodyDiv w:val="1"/>
      <w:marLeft w:val="0"/>
      <w:marRight w:val="0"/>
      <w:marTop w:val="0"/>
      <w:marBottom w:val="0"/>
      <w:divBdr>
        <w:top w:val="none" w:sz="0" w:space="0" w:color="auto"/>
        <w:left w:val="none" w:sz="0" w:space="0" w:color="auto"/>
        <w:bottom w:val="none" w:sz="0" w:space="0" w:color="auto"/>
        <w:right w:val="none" w:sz="0" w:space="0" w:color="auto"/>
      </w:divBdr>
    </w:div>
    <w:div w:id="519780756">
      <w:bodyDiv w:val="1"/>
      <w:marLeft w:val="0"/>
      <w:marRight w:val="0"/>
      <w:marTop w:val="0"/>
      <w:marBottom w:val="0"/>
      <w:divBdr>
        <w:top w:val="none" w:sz="0" w:space="0" w:color="auto"/>
        <w:left w:val="none" w:sz="0" w:space="0" w:color="auto"/>
        <w:bottom w:val="none" w:sz="0" w:space="0" w:color="auto"/>
        <w:right w:val="none" w:sz="0" w:space="0" w:color="auto"/>
      </w:divBdr>
    </w:div>
    <w:div w:id="561985132">
      <w:bodyDiv w:val="1"/>
      <w:marLeft w:val="0"/>
      <w:marRight w:val="0"/>
      <w:marTop w:val="0"/>
      <w:marBottom w:val="0"/>
      <w:divBdr>
        <w:top w:val="none" w:sz="0" w:space="0" w:color="auto"/>
        <w:left w:val="none" w:sz="0" w:space="0" w:color="auto"/>
        <w:bottom w:val="none" w:sz="0" w:space="0" w:color="auto"/>
        <w:right w:val="none" w:sz="0" w:space="0" w:color="auto"/>
      </w:divBdr>
    </w:div>
    <w:div w:id="776369999">
      <w:bodyDiv w:val="1"/>
      <w:marLeft w:val="0"/>
      <w:marRight w:val="0"/>
      <w:marTop w:val="0"/>
      <w:marBottom w:val="0"/>
      <w:divBdr>
        <w:top w:val="none" w:sz="0" w:space="0" w:color="auto"/>
        <w:left w:val="none" w:sz="0" w:space="0" w:color="auto"/>
        <w:bottom w:val="none" w:sz="0" w:space="0" w:color="auto"/>
        <w:right w:val="none" w:sz="0" w:space="0" w:color="auto"/>
      </w:divBdr>
    </w:div>
    <w:div w:id="836576599">
      <w:bodyDiv w:val="1"/>
      <w:marLeft w:val="0"/>
      <w:marRight w:val="0"/>
      <w:marTop w:val="0"/>
      <w:marBottom w:val="0"/>
      <w:divBdr>
        <w:top w:val="none" w:sz="0" w:space="0" w:color="auto"/>
        <w:left w:val="none" w:sz="0" w:space="0" w:color="auto"/>
        <w:bottom w:val="none" w:sz="0" w:space="0" w:color="auto"/>
        <w:right w:val="none" w:sz="0" w:space="0" w:color="auto"/>
      </w:divBdr>
    </w:div>
    <w:div w:id="842160513">
      <w:bodyDiv w:val="1"/>
      <w:marLeft w:val="0"/>
      <w:marRight w:val="0"/>
      <w:marTop w:val="0"/>
      <w:marBottom w:val="0"/>
      <w:divBdr>
        <w:top w:val="none" w:sz="0" w:space="0" w:color="auto"/>
        <w:left w:val="none" w:sz="0" w:space="0" w:color="auto"/>
        <w:bottom w:val="none" w:sz="0" w:space="0" w:color="auto"/>
        <w:right w:val="none" w:sz="0" w:space="0" w:color="auto"/>
      </w:divBdr>
    </w:div>
    <w:div w:id="847133769">
      <w:bodyDiv w:val="1"/>
      <w:marLeft w:val="0"/>
      <w:marRight w:val="0"/>
      <w:marTop w:val="0"/>
      <w:marBottom w:val="0"/>
      <w:divBdr>
        <w:top w:val="none" w:sz="0" w:space="0" w:color="auto"/>
        <w:left w:val="none" w:sz="0" w:space="0" w:color="auto"/>
        <w:bottom w:val="none" w:sz="0" w:space="0" w:color="auto"/>
        <w:right w:val="none" w:sz="0" w:space="0" w:color="auto"/>
      </w:divBdr>
    </w:div>
    <w:div w:id="850338134">
      <w:bodyDiv w:val="1"/>
      <w:marLeft w:val="0"/>
      <w:marRight w:val="0"/>
      <w:marTop w:val="0"/>
      <w:marBottom w:val="0"/>
      <w:divBdr>
        <w:top w:val="none" w:sz="0" w:space="0" w:color="auto"/>
        <w:left w:val="none" w:sz="0" w:space="0" w:color="auto"/>
        <w:bottom w:val="none" w:sz="0" w:space="0" w:color="auto"/>
        <w:right w:val="none" w:sz="0" w:space="0" w:color="auto"/>
      </w:divBdr>
    </w:div>
    <w:div w:id="917250350">
      <w:bodyDiv w:val="1"/>
      <w:marLeft w:val="0"/>
      <w:marRight w:val="0"/>
      <w:marTop w:val="0"/>
      <w:marBottom w:val="0"/>
      <w:divBdr>
        <w:top w:val="none" w:sz="0" w:space="0" w:color="auto"/>
        <w:left w:val="none" w:sz="0" w:space="0" w:color="auto"/>
        <w:bottom w:val="none" w:sz="0" w:space="0" w:color="auto"/>
        <w:right w:val="none" w:sz="0" w:space="0" w:color="auto"/>
      </w:divBdr>
    </w:div>
    <w:div w:id="953753179">
      <w:bodyDiv w:val="1"/>
      <w:marLeft w:val="0"/>
      <w:marRight w:val="0"/>
      <w:marTop w:val="0"/>
      <w:marBottom w:val="0"/>
      <w:divBdr>
        <w:top w:val="none" w:sz="0" w:space="0" w:color="auto"/>
        <w:left w:val="none" w:sz="0" w:space="0" w:color="auto"/>
        <w:bottom w:val="none" w:sz="0" w:space="0" w:color="auto"/>
        <w:right w:val="none" w:sz="0" w:space="0" w:color="auto"/>
      </w:divBdr>
    </w:div>
    <w:div w:id="1125200343">
      <w:bodyDiv w:val="1"/>
      <w:marLeft w:val="0"/>
      <w:marRight w:val="0"/>
      <w:marTop w:val="0"/>
      <w:marBottom w:val="0"/>
      <w:divBdr>
        <w:top w:val="none" w:sz="0" w:space="0" w:color="auto"/>
        <w:left w:val="none" w:sz="0" w:space="0" w:color="auto"/>
        <w:bottom w:val="none" w:sz="0" w:space="0" w:color="auto"/>
        <w:right w:val="none" w:sz="0" w:space="0" w:color="auto"/>
      </w:divBdr>
    </w:div>
    <w:div w:id="1160461910">
      <w:bodyDiv w:val="1"/>
      <w:marLeft w:val="0"/>
      <w:marRight w:val="0"/>
      <w:marTop w:val="0"/>
      <w:marBottom w:val="0"/>
      <w:divBdr>
        <w:top w:val="none" w:sz="0" w:space="0" w:color="auto"/>
        <w:left w:val="none" w:sz="0" w:space="0" w:color="auto"/>
        <w:bottom w:val="none" w:sz="0" w:space="0" w:color="auto"/>
        <w:right w:val="none" w:sz="0" w:space="0" w:color="auto"/>
      </w:divBdr>
    </w:div>
    <w:div w:id="1163351975">
      <w:bodyDiv w:val="1"/>
      <w:marLeft w:val="0"/>
      <w:marRight w:val="0"/>
      <w:marTop w:val="0"/>
      <w:marBottom w:val="0"/>
      <w:divBdr>
        <w:top w:val="none" w:sz="0" w:space="0" w:color="auto"/>
        <w:left w:val="none" w:sz="0" w:space="0" w:color="auto"/>
        <w:bottom w:val="none" w:sz="0" w:space="0" w:color="auto"/>
        <w:right w:val="none" w:sz="0" w:space="0" w:color="auto"/>
      </w:divBdr>
    </w:div>
    <w:div w:id="1198618281">
      <w:bodyDiv w:val="1"/>
      <w:marLeft w:val="0"/>
      <w:marRight w:val="0"/>
      <w:marTop w:val="0"/>
      <w:marBottom w:val="0"/>
      <w:divBdr>
        <w:top w:val="none" w:sz="0" w:space="0" w:color="auto"/>
        <w:left w:val="none" w:sz="0" w:space="0" w:color="auto"/>
        <w:bottom w:val="none" w:sz="0" w:space="0" w:color="auto"/>
        <w:right w:val="none" w:sz="0" w:space="0" w:color="auto"/>
      </w:divBdr>
    </w:div>
    <w:div w:id="1211191516">
      <w:bodyDiv w:val="1"/>
      <w:marLeft w:val="0"/>
      <w:marRight w:val="0"/>
      <w:marTop w:val="0"/>
      <w:marBottom w:val="0"/>
      <w:divBdr>
        <w:top w:val="none" w:sz="0" w:space="0" w:color="auto"/>
        <w:left w:val="none" w:sz="0" w:space="0" w:color="auto"/>
        <w:bottom w:val="none" w:sz="0" w:space="0" w:color="auto"/>
        <w:right w:val="none" w:sz="0" w:space="0" w:color="auto"/>
      </w:divBdr>
    </w:div>
    <w:div w:id="1255432796">
      <w:bodyDiv w:val="1"/>
      <w:marLeft w:val="0"/>
      <w:marRight w:val="0"/>
      <w:marTop w:val="0"/>
      <w:marBottom w:val="0"/>
      <w:divBdr>
        <w:top w:val="none" w:sz="0" w:space="0" w:color="auto"/>
        <w:left w:val="none" w:sz="0" w:space="0" w:color="auto"/>
        <w:bottom w:val="none" w:sz="0" w:space="0" w:color="auto"/>
        <w:right w:val="none" w:sz="0" w:space="0" w:color="auto"/>
      </w:divBdr>
    </w:div>
    <w:div w:id="1299531007">
      <w:bodyDiv w:val="1"/>
      <w:marLeft w:val="0"/>
      <w:marRight w:val="0"/>
      <w:marTop w:val="0"/>
      <w:marBottom w:val="0"/>
      <w:divBdr>
        <w:top w:val="none" w:sz="0" w:space="0" w:color="auto"/>
        <w:left w:val="none" w:sz="0" w:space="0" w:color="auto"/>
        <w:bottom w:val="none" w:sz="0" w:space="0" w:color="auto"/>
        <w:right w:val="none" w:sz="0" w:space="0" w:color="auto"/>
      </w:divBdr>
    </w:div>
    <w:div w:id="1334187919">
      <w:bodyDiv w:val="1"/>
      <w:marLeft w:val="0"/>
      <w:marRight w:val="0"/>
      <w:marTop w:val="0"/>
      <w:marBottom w:val="0"/>
      <w:divBdr>
        <w:top w:val="none" w:sz="0" w:space="0" w:color="auto"/>
        <w:left w:val="none" w:sz="0" w:space="0" w:color="auto"/>
        <w:bottom w:val="none" w:sz="0" w:space="0" w:color="auto"/>
        <w:right w:val="none" w:sz="0" w:space="0" w:color="auto"/>
      </w:divBdr>
    </w:div>
    <w:div w:id="1488783255">
      <w:bodyDiv w:val="1"/>
      <w:marLeft w:val="0"/>
      <w:marRight w:val="0"/>
      <w:marTop w:val="0"/>
      <w:marBottom w:val="0"/>
      <w:divBdr>
        <w:top w:val="none" w:sz="0" w:space="0" w:color="auto"/>
        <w:left w:val="none" w:sz="0" w:space="0" w:color="auto"/>
        <w:bottom w:val="none" w:sz="0" w:space="0" w:color="auto"/>
        <w:right w:val="none" w:sz="0" w:space="0" w:color="auto"/>
      </w:divBdr>
    </w:div>
    <w:div w:id="1511524785">
      <w:bodyDiv w:val="1"/>
      <w:marLeft w:val="0"/>
      <w:marRight w:val="0"/>
      <w:marTop w:val="0"/>
      <w:marBottom w:val="0"/>
      <w:divBdr>
        <w:top w:val="none" w:sz="0" w:space="0" w:color="auto"/>
        <w:left w:val="none" w:sz="0" w:space="0" w:color="auto"/>
        <w:bottom w:val="none" w:sz="0" w:space="0" w:color="auto"/>
        <w:right w:val="none" w:sz="0" w:space="0" w:color="auto"/>
      </w:divBdr>
    </w:div>
    <w:div w:id="1524631569">
      <w:bodyDiv w:val="1"/>
      <w:marLeft w:val="0"/>
      <w:marRight w:val="0"/>
      <w:marTop w:val="0"/>
      <w:marBottom w:val="0"/>
      <w:divBdr>
        <w:top w:val="none" w:sz="0" w:space="0" w:color="auto"/>
        <w:left w:val="none" w:sz="0" w:space="0" w:color="auto"/>
        <w:bottom w:val="none" w:sz="0" w:space="0" w:color="auto"/>
        <w:right w:val="none" w:sz="0" w:space="0" w:color="auto"/>
      </w:divBdr>
    </w:div>
    <w:div w:id="1572159502">
      <w:bodyDiv w:val="1"/>
      <w:marLeft w:val="0"/>
      <w:marRight w:val="0"/>
      <w:marTop w:val="0"/>
      <w:marBottom w:val="0"/>
      <w:divBdr>
        <w:top w:val="none" w:sz="0" w:space="0" w:color="auto"/>
        <w:left w:val="none" w:sz="0" w:space="0" w:color="auto"/>
        <w:bottom w:val="none" w:sz="0" w:space="0" w:color="auto"/>
        <w:right w:val="none" w:sz="0" w:space="0" w:color="auto"/>
      </w:divBdr>
    </w:div>
    <w:div w:id="1576164419">
      <w:bodyDiv w:val="1"/>
      <w:marLeft w:val="0"/>
      <w:marRight w:val="0"/>
      <w:marTop w:val="0"/>
      <w:marBottom w:val="0"/>
      <w:divBdr>
        <w:top w:val="none" w:sz="0" w:space="0" w:color="auto"/>
        <w:left w:val="none" w:sz="0" w:space="0" w:color="auto"/>
        <w:bottom w:val="none" w:sz="0" w:space="0" w:color="auto"/>
        <w:right w:val="none" w:sz="0" w:space="0" w:color="auto"/>
      </w:divBdr>
    </w:div>
    <w:div w:id="1678533306">
      <w:bodyDiv w:val="1"/>
      <w:marLeft w:val="0"/>
      <w:marRight w:val="0"/>
      <w:marTop w:val="0"/>
      <w:marBottom w:val="0"/>
      <w:divBdr>
        <w:top w:val="none" w:sz="0" w:space="0" w:color="auto"/>
        <w:left w:val="none" w:sz="0" w:space="0" w:color="auto"/>
        <w:bottom w:val="none" w:sz="0" w:space="0" w:color="auto"/>
        <w:right w:val="none" w:sz="0" w:space="0" w:color="auto"/>
      </w:divBdr>
    </w:div>
    <w:div w:id="1709261539">
      <w:bodyDiv w:val="1"/>
      <w:marLeft w:val="0"/>
      <w:marRight w:val="0"/>
      <w:marTop w:val="0"/>
      <w:marBottom w:val="0"/>
      <w:divBdr>
        <w:top w:val="none" w:sz="0" w:space="0" w:color="auto"/>
        <w:left w:val="none" w:sz="0" w:space="0" w:color="auto"/>
        <w:bottom w:val="none" w:sz="0" w:space="0" w:color="auto"/>
        <w:right w:val="none" w:sz="0" w:space="0" w:color="auto"/>
      </w:divBdr>
    </w:div>
    <w:div w:id="1721587342">
      <w:bodyDiv w:val="1"/>
      <w:marLeft w:val="0"/>
      <w:marRight w:val="0"/>
      <w:marTop w:val="0"/>
      <w:marBottom w:val="0"/>
      <w:divBdr>
        <w:top w:val="none" w:sz="0" w:space="0" w:color="auto"/>
        <w:left w:val="none" w:sz="0" w:space="0" w:color="auto"/>
        <w:bottom w:val="none" w:sz="0" w:space="0" w:color="auto"/>
        <w:right w:val="none" w:sz="0" w:space="0" w:color="auto"/>
      </w:divBdr>
    </w:div>
    <w:div w:id="1863205602">
      <w:bodyDiv w:val="1"/>
      <w:marLeft w:val="0"/>
      <w:marRight w:val="0"/>
      <w:marTop w:val="0"/>
      <w:marBottom w:val="0"/>
      <w:divBdr>
        <w:top w:val="none" w:sz="0" w:space="0" w:color="auto"/>
        <w:left w:val="none" w:sz="0" w:space="0" w:color="auto"/>
        <w:bottom w:val="none" w:sz="0" w:space="0" w:color="auto"/>
        <w:right w:val="none" w:sz="0" w:space="0" w:color="auto"/>
      </w:divBdr>
    </w:div>
    <w:div w:id="1927693296">
      <w:bodyDiv w:val="1"/>
      <w:marLeft w:val="0"/>
      <w:marRight w:val="0"/>
      <w:marTop w:val="0"/>
      <w:marBottom w:val="0"/>
      <w:divBdr>
        <w:top w:val="none" w:sz="0" w:space="0" w:color="auto"/>
        <w:left w:val="none" w:sz="0" w:space="0" w:color="auto"/>
        <w:bottom w:val="none" w:sz="0" w:space="0" w:color="auto"/>
        <w:right w:val="none" w:sz="0" w:space="0" w:color="auto"/>
      </w:divBdr>
    </w:div>
    <w:div w:id="1973905637">
      <w:bodyDiv w:val="1"/>
      <w:marLeft w:val="0"/>
      <w:marRight w:val="0"/>
      <w:marTop w:val="0"/>
      <w:marBottom w:val="0"/>
      <w:divBdr>
        <w:top w:val="none" w:sz="0" w:space="0" w:color="auto"/>
        <w:left w:val="none" w:sz="0" w:space="0" w:color="auto"/>
        <w:bottom w:val="none" w:sz="0" w:space="0" w:color="auto"/>
        <w:right w:val="none" w:sz="0" w:space="0" w:color="auto"/>
      </w:divBdr>
    </w:div>
    <w:div w:id="2005891466">
      <w:bodyDiv w:val="1"/>
      <w:marLeft w:val="0"/>
      <w:marRight w:val="0"/>
      <w:marTop w:val="0"/>
      <w:marBottom w:val="0"/>
      <w:divBdr>
        <w:top w:val="none" w:sz="0" w:space="0" w:color="auto"/>
        <w:left w:val="none" w:sz="0" w:space="0" w:color="auto"/>
        <w:bottom w:val="none" w:sz="0" w:space="0" w:color="auto"/>
        <w:right w:val="none" w:sz="0" w:space="0" w:color="auto"/>
      </w:divBdr>
      <w:divsChild>
        <w:div w:id="1936744418">
          <w:marLeft w:val="446"/>
          <w:marRight w:val="0"/>
          <w:marTop w:val="0"/>
          <w:marBottom w:val="0"/>
          <w:divBdr>
            <w:top w:val="none" w:sz="0" w:space="0" w:color="auto"/>
            <w:left w:val="none" w:sz="0" w:space="0" w:color="auto"/>
            <w:bottom w:val="none" w:sz="0" w:space="0" w:color="auto"/>
            <w:right w:val="none" w:sz="0" w:space="0" w:color="auto"/>
          </w:divBdr>
        </w:div>
        <w:div w:id="1032147444">
          <w:marLeft w:val="446"/>
          <w:marRight w:val="0"/>
          <w:marTop w:val="0"/>
          <w:marBottom w:val="0"/>
          <w:divBdr>
            <w:top w:val="none" w:sz="0" w:space="0" w:color="auto"/>
            <w:left w:val="none" w:sz="0" w:space="0" w:color="auto"/>
            <w:bottom w:val="none" w:sz="0" w:space="0" w:color="auto"/>
            <w:right w:val="none" w:sz="0" w:space="0" w:color="auto"/>
          </w:divBdr>
        </w:div>
        <w:div w:id="1685672092">
          <w:marLeft w:val="446"/>
          <w:marRight w:val="0"/>
          <w:marTop w:val="0"/>
          <w:marBottom w:val="0"/>
          <w:divBdr>
            <w:top w:val="none" w:sz="0" w:space="0" w:color="auto"/>
            <w:left w:val="none" w:sz="0" w:space="0" w:color="auto"/>
            <w:bottom w:val="none" w:sz="0" w:space="0" w:color="auto"/>
            <w:right w:val="none" w:sz="0" w:space="0" w:color="auto"/>
          </w:divBdr>
        </w:div>
        <w:div w:id="500703637">
          <w:marLeft w:val="446"/>
          <w:marRight w:val="0"/>
          <w:marTop w:val="0"/>
          <w:marBottom w:val="0"/>
          <w:divBdr>
            <w:top w:val="none" w:sz="0" w:space="0" w:color="auto"/>
            <w:left w:val="none" w:sz="0" w:space="0" w:color="auto"/>
            <w:bottom w:val="none" w:sz="0" w:space="0" w:color="auto"/>
            <w:right w:val="none" w:sz="0" w:space="0" w:color="auto"/>
          </w:divBdr>
        </w:div>
        <w:div w:id="2075737766">
          <w:marLeft w:val="446"/>
          <w:marRight w:val="0"/>
          <w:marTop w:val="0"/>
          <w:marBottom w:val="0"/>
          <w:divBdr>
            <w:top w:val="none" w:sz="0" w:space="0" w:color="auto"/>
            <w:left w:val="none" w:sz="0" w:space="0" w:color="auto"/>
            <w:bottom w:val="none" w:sz="0" w:space="0" w:color="auto"/>
            <w:right w:val="none" w:sz="0" w:space="0" w:color="auto"/>
          </w:divBdr>
        </w:div>
      </w:divsChild>
    </w:div>
    <w:div w:id="2115860600">
      <w:bodyDiv w:val="1"/>
      <w:marLeft w:val="0"/>
      <w:marRight w:val="0"/>
      <w:marTop w:val="0"/>
      <w:marBottom w:val="0"/>
      <w:divBdr>
        <w:top w:val="none" w:sz="0" w:space="0" w:color="auto"/>
        <w:left w:val="none" w:sz="0" w:space="0" w:color="auto"/>
        <w:bottom w:val="none" w:sz="0" w:space="0" w:color="auto"/>
        <w:right w:val="none" w:sz="0" w:space="0" w:color="auto"/>
      </w:divBdr>
    </w:div>
    <w:div w:id="213359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eanenergycouncil.org.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cid:image001.jpg@01CEDE05.D80C2380"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94DA63-D9B3-4950-8583-14646338112B}">
  <ds:schemaRefs>
    <ds:schemaRef ds:uri="http://schemas.openxmlformats.org/officeDocument/2006/bibliography"/>
  </ds:schemaRefs>
</ds:datastoreItem>
</file>

<file path=customXml/itemProps2.xml><?xml version="1.0" encoding="utf-8"?>
<ds:datastoreItem xmlns:ds="http://schemas.openxmlformats.org/officeDocument/2006/customXml" ds:itemID="{356287AC-1C82-4941-92EC-C3FD8138DC29}"/>
</file>

<file path=customXml/itemProps3.xml><?xml version="1.0" encoding="utf-8"?>
<ds:datastoreItem xmlns:ds="http://schemas.openxmlformats.org/officeDocument/2006/customXml" ds:itemID="{7B8D93F1-D5BC-4BF9-A9D1-9A4338AB73B0}"/>
</file>

<file path=customXml/itemProps4.xml><?xml version="1.0" encoding="utf-8"?>
<ds:datastoreItem xmlns:ds="http://schemas.openxmlformats.org/officeDocument/2006/customXml" ds:itemID="{EAE96D60-D25C-4D62-ABA6-52341907EA08}"/>
</file>

<file path=docProps/app.xml><?xml version="1.0" encoding="utf-8"?>
<Properties xmlns="http://schemas.openxmlformats.org/officeDocument/2006/extended-properties" xmlns:vt="http://schemas.openxmlformats.org/officeDocument/2006/docPropsVTypes">
  <Template>Normal</Template>
  <TotalTime>9</TotalTime>
  <Pages>4</Pages>
  <Words>2032</Words>
  <Characters>11589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Darren Gladman</dc:creator>
  <cp:lastModifiedBy>Darren Gladman</cp:lastModifiedBy>
  <cp:revision>3</cp:revision>
  <cp:lastPrinted>2019-01-31T04:07:00Z</cp:lastPrinted>
  <dcterms:created xsi:type="dcterms:W3CDTF">2020-07-28T04:48:00Z</dcterms:created>
  <dcterms:modified xsi:type="dcterms:W3CDTF">2020-07-28T04:56:00Z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