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479691425" w:displacedByCustomXml="next"/>
    <w:bookmarkStart w:id="1" w:name="_Toc503353620" w:displacedByCustomXml="next"/>
    <w:sdt>
      <w:sdtPr>
        <w:rPr>
          <w:i w:val="0"/>
          <w:sz w:val="20"/>
        </w:rPr>
        <w:alias w:val="Date"/>
        <w:tag w:val=""/>
        <w:id w:val="-807089344"/>
        <w:placeholder>
          <w:docPart w:val="22EAFF7446B940FBB455C4F49F5C13EC"/>
        </w:placeholder>
        <w:dataBinding w:prefixMappings="xmlns:ns0='http://schemas.microsoft.com/office/2006/coverPageProps' " w:xpath="/ns0:CoverPageProperties[1]/ns0:PublishDate[1]" w:storeItemID="{55AF091B-3C7A-41E3-B477-F2FDAA23CFDA}"/>
        <w:date w:fullDate="2020-07-28T00:00:00Z">
          <w:dateFormat w:val="dddd, d MMMM yyyy"/>
          <w:lid w:val="en-AU"/>
          <w:storeMappedDataAs w:val="dateTime"/>
          <w:calendar w:val="gregorian"/>
        </w:date>
      </w:sdtPr>
      <w:sdtEndPr>
        <w:rPr>
          <w:i/>
          <w:sz w:val="19"/>
        </w:rPr>
      </w:sdtEndPr>
      <w:sdtContent>
        <w:p w14:paraId="6BFCF66E" w14:textId="2FF1EEC8" w:rsidR="00DA6AC1" w:rsidRPr="00D61934" w:rsidRDefault="00AD2E0A" w:rsidP="00906B45">
          <w:pPr>
            <w:pStyle w:val="Date"/>
          </w:pPr>
          <w:r>
            <w:rPr>
              <w:i w:val="0"/>
              <w:sz w:val="20"/>
            </w:rPr>
            <w:t>Tuesday, 28 July 2020</w:t>
          </w:r>
        </w:p>
      </w:sdtContent>
    </w:sdt>
    <w:p w14:paraId="4ACEAD5F" w14:textId="77777777" w:rsidR="00906B45" w:rsidRDefault="00906B45" w:rsidP="00906B45">
      <w:pPr>
        <w:pStyle w:val="BodyText"/>
        <w:rPr>
          <w:lang w:val="en-US"/>
        </w:rPr>
      </w:pPr>
    </w:p>
    <w:p w14:paraId="533394C8" w14:textId="1B25CC0F" w:rsidR="00F12DAD" w:rsidRDefault="00F12DAD" w:rsidP="00906B45">
      <w:pPr>
        <w:pStyle w:val="BodyText"/>
        <w:rPr>
          <w:lang w:val="en-US"/>
        </w:rPr>
      </w:pPr>
      <w:r>
        <w:rPr>
          <w:lang w:val="en-US"/>
        </w:rPr>
        <w:t>Energy Security Board</w:t>
      </w:r>
      <w:r>
        <w:rPr>
          <w:lang w:val="en-US"/>
        </w:rPr>
        <w:br/>
        <w:t>Department of Industry, Science, Energy and Resources</w:t>
      </w:r>
      <w:r>
        <w:rPr>
          <w:lang w:val="en-US"/>
        </w:rPr>
        <w:br/>
        <w:t xml:space="preserve">GPO Box </w:t>
      </w:r>
      <w:r w:rsidR="001D2F9B">
        <w:rPr>
          <w:lang w:val="en-US"/>
        </w:rPr>
        <w:t>2013</w:t>
      </w:r>
      <w:r w:rsidR="001D2F9B">
        <w:rPr>
          <w:lang w:val="en-US"/>
        </w:rPr>
        <w:br/>
        <w:t>Canberra ACT 2601</w:t>
      </w:r>
    </w:p>
    <w:p w14:paraId="68EE0047" w14:textId="77777777" w:rsidR="00EE6422" w:rsidRDefault="00EE6422" w:rsidP="00EE6422">
      <w:pPr>
        <w:pStyle w:val="BodyText"/>
        <w:rPr>
          <w:lang w:val="en-US"/>
        </w:rPr>
      </w:pPr>
    </w:p>
    <w:bookmarkEnd w:id="1"/>
    <w:bookmarkEnd w:id="0"/>
    <w:p w14:paraId="615DCE81" w14:textId="77777777" w:rsidR="00C36AFB" w:rsidRDefault="00C36AFB" w:rsidP="00C36AFB">
      <w:pPr>
        <w:pStyle w:val="BodyText"/>
        <w:spacing w:before="240" w:after="240"/>
        <w:rPr>
          <w:lang w:val="en-US"/>
        </w:rPr>
      </w:pPr>
      <w:r>
        <w:rPr>
          <w:lang w:val="en-US"/>
        </w:rPr>
        <w:t xml:space="preserve">By email: </w:t>
      </w:r>
      <w:hyperlink r:id="rId9" w:history="1">
        <w:r w:rsidRPr="00B11308">
          <w:rPr>
            <w:rStyle w:val="Hyperlink"/>
            <w:lang w:val="en-US"/>
          </w:rPr>
          <w:t>info@esb.org.au</w:t>
        </w:r>
      </w:hyperlink>
      <w:r>
        <w:rPr>
          <w:lang w:val="en-US"/>
        </w:rPr>
        <w:t xml:space="preserve"> </w:t>
      </w:r>
    </w:p>
    <w:p w14:paraId="66C82299" w14:textId="77777777" w:rsidR="00C36AFB" w:rsidRPr="00AD2E0A" w:rsidRDefault="00C36AFB" w:rsidP="00C36AFB">
      <w:pPr>
        <w:pStyle w:val="Heading3"/>
        <w:rPr>
          <w:lang w:val="en-US"/>
        </w:rPr>
      </w:pPr>
      <w:r>
        <w:rPr>
          <w:lang w:val="en-US"/>
        </w:rPr>
        <w:br/>
      </w:r>
      <w:r w:rsidRPr="001F25BA">
        <w:rPr>
          <w:lang w:val="en-US"/>
        </w:rPr>
        <w:t xml:space="preserve">RE: </w:t>
      </w:r>
      <w:r>
        <w:rPr>
          <w:lang w:val="en-US"/>
        </w:rPr>
        <w:t>Energy Security Board Governance of DER technical standards</w:t>
      </w:r>
    </w:p>
    <w:p w14:paraId="26E42B77" w14:textId="27557DE8" w:rsidR="00C36AFB" w:rsidRDefault="00C36AFB" w:rsidP="00C36AFB">
      <w:pPr>
        <w:pStyle w:val="BodyText"/>
        <w:rPr>
          <w:lang w:val="en-US"/>
        </w:rPr>
      </w:pPr>
      <w:r w:rsidRPr="001F25BA">
        <w:rPr>
          <w:lang w:val="en-US"/>
        </w:rPr>
        <w:t xml:space="preserve">ERM Power </w:t>
      </w:r>
      <w:r>
        <w:rPr>
          <w:lang w:val="en-US"/>
        </w:rPr>
        <w:t xml:space="preserve">Retail Pty Ltd </w:t>
      </w:r>
      <w:r w:rsidRPr="001F25BA">
        <w:rPr>
          <w:lang w:val="en-US"/>
        </w:rPr>
        <w:t xml:space="preserve">(ERM </w:t>
      </w:r>
      <w:r>
        <w:rPr>
          <w:lang w:val="en-US"/>
        </w:rPr>
        <w:t>Power</w:t>
      </w:r>
      <w:r w:rsidRPr="001F25BA">
        <w:rPr>
          <w:lang w:val="en-US"/>
        </w:rPr>
        <w:t>) welcomes the opportunity to respond to</w:t>
      </w:r>
      <w:r>
        <w:rPr>
          <w:lang w:val="en-US"/>
        </w:rPr>
        <w:t xml:space="preserve"> the Energy Security Board’s </w:t>
      </w:r>
      <w:r w:rsidR="006712B1">
        <w:rPr>
          <w:lang w:val="en-US"/>
        </w:rPr>
        <w:t xml:space="preserve">(ESB’s) </w:t>
      </w:r>
      <w:r>
        <w:rPr>
          <w:lang w:val="en-US"/>
        </w:rPr>
        <w:t>consultation paper</w:t>
      </w:r>
      <w:r w:rsidR="00C74758">
        <w:rPr>
          <w:lang w:val="en-US"/>
        </w:rPr>
        <w:t xml:space="preserve"> </w:t>
      </w:r>
      <w:r>
        <w:rPr>
          <w:lang w:val="en-US"/>
        </w:rPr>
        <w:t xml:space="preserve">on governance of Distributed Energy Resources (DER) technical standards. </w:t>
      </w:r>
    </w:p>
    <w:p w14:paraId="1A642C94" w14:textId="77777777" w:rsidR="00C36AFB" w:rsidRPr="000C0336" w:rsidRDefault="00C36AFB" w:rsidP="00C36AFB">
      <w:pPr>
        <w:pStyle w:val="Heading3"/>
        <w:rPr>
          <w:lang w:val="en-US"/>
        </w:rPr>
      </w:pPr>
      <w:r w:rsidRPr="001F25BA">
        <w:rPr>
          <w:lang w:val="en-US"/>
        </w:rPr>
        <w:t xml:space="preserve">About ERM Power </w:t>
      </w:r>
    </w:p>
    <w:p w14:paraId="100EF406" w14:textId="77777777" w:rsidR="00C36AFB" w:rsidRDefault="00C36AFB" w:rsidP="00C36AFB">
      <w:pPr>
        <w:pStyle w:val="BodyText"/>
        <w:rPr>
          <w:lang w:val="en-US"/>
        </w:rPr>
      </w:pPr>
      <w:r w:rsidRPr="000C0336">
        <w:rPr>
          <w:lang w:val="en-US"/>
        </w:rPr>
        <w:t xml:space="preserve">ERM Power (ERM) is a subsidiary of Shell Energy Australia Pty Ltd (Shell Energy). ERM is one of Australia’s leading commercial and industrial electricity retailers, providing large businesses with end to end energy management, from electricity retailing to integrated solutions that improve energy productivity. Market-leading customer satisfaction has </w:t>
      </w:r>
      <w:proofErr w:type="spellStart"/>
      <w:r w:rsidRPr="000C0336">
        <w:rPr>
          <w:lang w:val="en-US"/>
        </w:rPr>
        <w:t>fuelled</w:t>
      </w:r>
      <w:proofErr w:type="spellEnd"/>
      <w:r w:rsidRPr="000C0336">
        <w:rPr>
          <w:lang w:val="en-US"/>
        </w:rPr>
        <w:t xml:space="preserve"> ERM Power’s growth, and today the Company is the second largest electricity provider to commercial businesses and industrials in Australia by load</w:t>
      </w:r>
      <w:r>
        <w:rPr>
          <w:rStyle w:val="FootnoteReference"/>
          <w:lang w:val="en-US"/>
        </w:rPr>
        <w:footnoteReference w:id="1"/>
      </w:r>
      <w:r w:rsidRPr="001F25BA">
        <w:rPr>
          <w:lang w:val="en-US"/>
        </w:rPr>
        <w:t xml:space="preserve">. </w:t>
      </w:r>
      <w:r w:rsidRPr="000C0336">
        <w:rPr>
          <w:lang w:val="en-US"/>
        </w:rPr>
        <w:t>ERM also operates 662 megawatts of low emission, gas-fired peaking power stations in Western Australia and Queensland, supporting the industry’s transition to renewables</w:t>
      </w:r>
      <w:r w:rsidRPr="001F25BA">
        <w:rPr>
          <w:lang w:val="en-US"/>
        </w:rPr>
        <w:t xml:space="preserve">. </w:t>
      </w:r>
    </w:p>
    <w:p w14:paraId="28B43DE2" w14:textId="77777777" w:rsidR="00C36AFB" w:rsidRDefault="00C36AFB" w:rsidP="00C36AFB">
      <w:pPr>
        <w:pStyle w:val="BodyText"/>
        <w:rPr>
          <w:lang w:val="en-US"/>
        </w:rPr>
      </w:pPr>
      <w:hyperlink r:id="rId10" w:history="1">
        <w:r w:rsidRPr="00D604C7">
          <w:rPr>
            <w:rStyle w:val="Hyperlink"/>
          </w:rPr>
          <w:t>http://</w:t>
        </w:r>
        <w:r w:rsidRPr="00D604C7">
          <w:rPr>
            <w:rStyle w:val="Hyperlink"/>
            <w:lang w:val="en-US"/>
          </w:rPr>
          <w:t>www.ermpower.com.au</w:t>
        </w:r>
      </w:hyperlink>
      <w:r>
        <w:rPr>
          <w:lang w:val="en-US"/>
        </w:rPr>
        <w:t xml:space="preserve"> </w:t>
      </w:r>
      <w:r>
        <w:rPr>
          <w:lang w:val="en-US"/>
        </w:rPr>
        <w:br/>
      </w:r>
      <w:hyperlink r:id="rId11" w:history="1">
        <w:r w:rsidRPr="0048400B">
          <w:rPr>
            <w:rStyle w:val="Hyperlink"/>
            <w:lang w:val="en-US"/>
          </w:rPr>
          <w:t>https://www.shell.com.au/business-customers/shell-energy-australia.html</w:t>
        </w:r>
      </w:hyperlink>
      <w:r>
        <w:rPr>
          <w:lang w:val="en-US"/>
        </w:rPr>
        <w:t xml:space="preserve"> </w:t>
      </w:r>
    </w:p>
    <w:p w14:paraId="25B6C751" w14:textId="77777777" w:rsidR="00C36AFB" w:rsidRDefault="00C36AFB" w:rsidP="00C36AFB">
      <w:pPr>
        <w:pStyle w:val="Heading3"/>
        <w:rPr>
          <w:lang w:val="en-US"/>
        </w:rPr>
      </w:pPr>
      <w:r>
        <w:rPr>
          <w:lang w:val="en-US"/>
        </w:rPr>
        <w:t>General comments</w:t>
      </w:r>
    </w:p>
    <w:p w14:paraId="70093B73" w14:textId="42116C36" w:rsidR="00C36AFB" w:rsidRDefault="00C36AFB" w:rsidP="00C36AFB">
      <w:pPr>
        <w:pStyle w:val="BodyText"/>
        <w:rPr>
          <w:lang w:val="en-US"/>
        </w:rPr>
      </w:pPr>
      <w:r>
        <w:rPr>
          <w:lang w:val="en-US"/>
        </w:rPr>
        <w:t xml:space="preserve">ERM Power supports the development and implementation of minimum technical standards for DER to ensure the ongoing secure operation of the power systems. However, we are keen to avoid excessive or heavy-handed requirements that will add unnecessary cost and complexity to projects, thereby inhibiting the uptake of DER among large energy users, to the detriment of energy productivity, </w:t>
      </w:r>
      <w:proofErr w:type="spellStart"/>
      <w:r>
        <w:rPr>
          <w:lang w:val="en-US"/>
        </w:rPr>
        <w:t>decarbonisation</w:t>
      </w:r>
      <w:proofErr w:type="spellEnd"/>
      <w:r>
        <w:rPr>
          <w:lang w:val="en-US"/>
        </w:rPr>
        <w:t xml:space="preserve">, and the cost-effective management of local network areas. While we agree that technical standards for DER have the scope to more efficiently manage the supply-demand balance across the NEM, which could ultimately lower energy costs for all consumers, these standards should be adopted via a proportionate approach, and should be measured by reference to the capability and information required to effectively and securely operate the power systems and integrate with National Electricity Market (NEM) market operation.  </w:t>
      </w:r>
    </w:p>
    <w:p w14:paraId="2D3AA07E" w14:textId="77777777" w:rsidR="00C36AFB" w:rsidRDefault="00C36AFB" w:rsidP="00C36AFB">
      <w:pPr>
        <w:pStyle w:val="BodyText"/>
        <w:rPr>
          <w:lang w:val="en-US"/>
        </w:rPr>
      </w:pPr>
      <w:r>
        <w:rPr>
          <w:lang w:val="en-US"/>
        </w:rPr>
        <w:t xml:space="preserve">We endorse the ESB’s observation that DER technical standards are needed to support electrical system security, distribution network management, and affordability for consumers. To ensure that these considerations are addressed, particularly that energy supply and DER technology remains affordable for consumers, it is essential that any new coordinating governance structure is designed in such a way as to embed a strong consumer perspective within its decision making. Absent consumer support, DER uptake will be low and the potential benefits arising from DER will not be </w:t>
      </w:r>
      <w:proofErr w:type="spellStart"/>
      <w:r>
        <w:rPr>
          <w:lang w:val="en-US"/>
        </w:rPr>
        <w:t>realised</w:t>
      </w:r>
      <w:proofErr w:type="spellEnd"/>
      <w:r>
        <w:rPr>
          <w:lang w:val="en-US"/>
        </w:rPr>
        <w:t xml:space="preserve">.  </w:t>
      </w:r>
    </w:p>
    <w:p w14:paraId="3D2BC309" w14:textId="1DEA9187" w:rsidR="00C36AFB" w:rsidRDefault="00C36AFB" w:rsidP="00C36AFB">
      <w:pPr>
        <w:pStyle w:val="BodyText"/>
        <w:rPr>
          <w:lang w:val="en-US"/>
        </w:rPr>
      </w:pPr>
      <w:r>
        <w:rPr>
          <w:lang w:val="en-US"/>
        </w:rPr>
        <w:lastRenderedPageBreak/>
        <w:t>In addition, it is important that this new governance structure avoid</w:t>
      </w:r>
      <w:r w:rsidR="00192D0E">
        <w:rPr>
          <w:lang w:val="en-US"/>
        </w:rPr>
        <w:t>s</w:t>
      </w:r>
      <w:r>
        <w:rPr>
          <w:lang w:val="en-US"/>
        </w:rPr>
        <w:t xml:space="preserve"> undue influence from vested interests that may encourage the imposition of unduly burdensome technical standards which could undermine energy affordability and consumer interests. </w:t>
      </w:r>
    </w:p>
    <w:p w14:paraId="52E61220" w14:textId="77777777" w:rsidR="00C36AFB" w:rsidRPr="00C04B30" w:rsidRDefault="00C36AFB" w:rsidP="00C36AFB">
      <w:pPr>
        <w:pStyle w:val="Heading3"/>
        <w:rPr>
          <w:lang w:val="en-US"/>
        </w:rPr>
      </w:pPr>
      <w:bookmarkStart w:id="2" w:name="_Hlk46755797"/>
      <w:bookmarkStart w:id="3" w:name="_Hlk46755852"/>
      <w:r>
        <w:rPr>
          <w:lang w:val="en-US"/>
        </w:rPr>
        <w:t xml:space="preserve">Legal </w:t>
      </w:r>
      <w:bookmarkEnd w:id="2"/>
      <w:r>
        <w:rPr>
          <w:lang w:val="en-US"/>
        </w:rPr>
        <w:t xml:space="preserve">framework for a new coordinating governance structure </w:t>
      </w:r>
    </w:p>
    <w:bookmarkEnd w:id="3"/>
    <w:p w14:paraId="5F523801" w14:textId="58F02CCD" w:rsidR="00C36AFB" w:rsidRDefault="00C36AFB" w:rsidP="00C36AFB">
      <w:pPr>
        <w:pStyle w:val="BodyText"/>
      </w:pPr>
      <w:r>
        <w:t>It is proposed that a DER Standards Governance Committee is established to provide a governance structure that will allow for national coordination of technical standards for DER. The ESB has proposed that, given the broad objectives involved in setting technical standards for DER and the location of DER in the distribution network, the Australian Energy Market Commission (AEMC) is best placed as the over-arching rule maker in the NEM to convene the Committee.</w:t>
      </w:r>
    </w:p>
    <w:p w14:paraId="703B6B28" w14:textId="77777777" w:rsidR="00C36AFB" w:rsidRDefault="00C36AFB" w:rsidP="00C36AFB">
      <w:pPr>
        <w:pStyle w:val="BodyText"/>
      </w:pPr>
      <w:r>
        <w:t>We support the establishment of such a Governance Committee under the National Electricity Rules to be convened by the AEMC and consider that the appropriateness of functions and powers vested in this Governance Committee will be determined by its composition, particularly its scope to represent consumer interests, as we elaborate below. This proximity to consumer interests through the participation of consu</w:t>
      </w:r>
      <w:bookmarkStart w:id="4" w:name="_GoBack"/>
      <w:bookmarkEnd w:id="4"/>
      <w:r>
        <w:t xml:space="preserve">mer representatives will, in our view, be most conducive to devising efficient and effective processes for compliance and enforcement of DER technical standards.  </w:t>
      </w:r>
    </w:p>
    <w:p w14:paraId="328AD3D8" w14:textId="77777777" w:rsidR="00C36AFB" w:rsidRDefault="00C36AFB" w:rsidP="00C36AFB">
      <w:pPr>
        <w:pStyle w:val="BodyText"/>
      </w:pPr>
      <w:r>
        <w:t xml:space="preserve">In addition, we note the importance of ongoing consultation with industry to ensure that both governance framework and substantive technical standards are developed to best meet the needs of a well-functioning network as well as the market operations of the NEM that minimises overall energy costs for consumers. </w:t>
      </w:r>
    </w:p>
    <w:p w14:paraId="12EDD81E" w14:textId="77777777" w:rsidR="00C36AFB" w:rsidRPr="00C04B30" w:rsidRDefault="00C36AFB" w:rsidP="00C36AFB">
      <w:pPr>
        <w:pStyle w:val="Heading3"/>
        <w:rPr>
          <w:lang w:val="en-US"/>
        </w:rPr>
      </w:pPr>
      <w:r w:rsidRPr="008E2B4D">
        <w:rPr>
          <w:lang w:val="en-US"/>
        </w:rPr>
        <w:t>Functions of the DER Standards Governance Committee</w:t>
      </w:r>
      <w:r>
        <w:rPr>
          <w:lang w:val="en-US"/>
        </w:rPr>
        <w:t xml:space="preserve"> </w:t>
      </w:r>
    </w:p>
    <w:p w14:paraId="4988B7C9" w14:textId="4323E39D" w:rsidR="00C36AFB" w:rsidRDefault="00C36AFB" w:rsidP="00C36AFB">
      <w:pPr>
        <w:pStyle w:val="BodyText"/>
      </w:pPr>
      <w:r>
        <w:t>The E</w:t>
      </w:r>
      <w:r w:rsidR="006712B1">
        <w:t>SB</w:t>
      </w:r>
      <w:r>
        <w:t xml:space="preserve"> has questioned if the proposed body should be an advisory or determining body. We believe the proposed body should perform the same functions as the Reliability Panel, in that the proposed Committee would prepare information and consult with interested stakeholders and following this prepare a final report recommending rule changes to the AEMC. The AEMC would then conduct a normal rule change process to implement any proposed rule changes.</w:t>
      </w:r>
    </w:p>
    <w:p w14:paraId="1CFF7F66" w14:textId="52DFC4EB" w:rsidR="00C36AFB" w:rsidRDefault="00C36AFB" w:rsidP="00C36AFB">
      <w:pPr>
        <w:pStyle w:val="BodyText"/>
      </w:pPr>
      <w:r>
        <w:t xml:space="preserve">We believe that the technical standards for DER should be contained within the National Electricity Rules (NER).  This would be consistent with technical standards for all connection arrangements for load and generation. We do not support the development of a subsidiary instrument as the location for DER technical standards </w:t>
      </w:r>
      <w:r w:rsidR="001D280A">
        <w:t>as set out</w:t>
      </w:r>
      <w:r>
        <w:t xml:space="preserve"> </w:t>
      </w:r>
      <w:r w:rsidR="00C74758">
        <w:t>in</w:t>
      </w:r>
      <w:r>
        <w:t xml:space="preserve"> the ESB’s </w:t>
      </w:r>
      <w:r w:rsidR="00C74758">
        <w:t>consultation paper</w:t>
      </w:r>
      <w:r>
        <w:t>.</w:t>
      </w:r>
    </w:p>
    <w:p w14:paraId="10C73CAE" w14:textId="064F300E" w:rsidR="00C36AFB" w:rsidRPr="00AD2E0A" w:rsidRDefault="00C36AFB" w:rsidP="00C36AFB">
      <w:pPr>
        <w:pStyle w:val="BodyText"/>
      </w:pPr>
      <w:r>
        <w:t xml:space="preserve">With regards to the development of a compliance with technical standards, we agree that proposed Committee should have a role </w:t>
      </w:r>
      <w:r w:rsidRPr="00C008BC">
        <w:t>in coordinating the various processes already established and providing advice about how to modify these if needed, as well as in identifying gaps and developing new processes to fill them</w:t>
      </w:r>
      <w:r w:rsidR="006712B1">
        <w:t xml:space="preserve">. </w:t>
      </w:r>
      <w:r>
        <w:t>With regards to any enforcement action, we believe that the Australian Energy Regulator (AER) is best placed to consider, consult on and develop any proposed rule changes in the area, this would provide consistency with the AER</w:t>
      </w:r>
      <w:r>
        <w:t>’</w:t>
      </w:r>
      <w:r>
        <w:t xml:space="preserve">s existing NER enforcement functions. </w:t>
      </w:r>
    </w:p>
    <w:p w14:paraId="466FA3C5" w14:textId="77777777" w:rsidR="00C36AFB" w:rsidRPr="00906B45" w:rsidRDefault="00C36AFB" w:rsidP="00C36AFB">
      <w:pPr>
        <w:pStyle w:val="Heading3"/>
        <w:rPr>
          <w:lang w:val="en-US"/>
        </w:rPr>
      </w:pPr>
      <w:r>
        <w:rPr>
          <w:lang w:val="en-US"/>
        </w:rPr>
        <w:t xml:space="preserve">The nature and structure of the DER Standards Governance Committee </w:t>
      </w:r>
    </w:p>
    <w:p w14:paraId="43EA9E20" w14:textId="77777777" w:rsidR="00C36AFB" w:rsidRDefault="00C36AFB" w:rsidP="00C36AFB">
      <w:pPr>
        <w:pStyle w:val="BodyText"/>
        <w:rPr>
          <w:lang w:val="en-US"/>
        </w:rPr>
      </w:pPr>
      <w:r>
        <w:rPr>
          <w:lang w:val="en-US"/>
        </w:rPr>
        <w:t>The ESB has proposed that the Governance Committee would be funded from the budget of the AEMC as the convening body, including research and publication costs, and it is proposed that the Governance Committee is comprised of the following membership:</w:t>
      </w:r>
    </w:p>
    <w:p w14:paraId="1AC0F823" w14:textId="77777777" w:rsidR="00C36AFB" w:rsidRDefault="00C36AFB" w:rsidP="0023452C">
      <w:pPr>
        <w:pStyle w:val="BodyText"/>
        <w:numPr>
          <w:ilvl w:val="0"/>
          <w:numId w:val="16"/>
        </w:numPr>
        <w:rPr>
          <w:lang w:val="en-US"/>
        </w:rPr>
      </w:pPr>
      <w:r>
        <w:rPr>
          <w:lang w:val="en-US"/>
        </w:rPr>
        <w:t xml:space="preserve">An independent DER expert chair </w:t>
      </w:r>
    </w:p>
    <w:p w14:paraId="77FC0744" w14:textId="77777777" w:rsidR="00C36AFB" w:rsidRDefault="00C36AFB" w:rsidP="0023452C">
      <w:pPr>
        <w:pStyle w:val="BodyText"/>
        <w:numPr>
          <w:ilvl w:val="0"/>
          <w:numId w:val="16"/>
        </w:numPr>
        <w:rPr>
          <w:lang w:val="en-US"/>
        </w:rPr>
      </w:pPr>
      <w:r>
        <w:rPr>
          <w:lang w:val="en-US"/>
        </w:rPr>
        <w:t xml:space="preserve">An AEMC Commissioner </w:t>
      </w:r>
    </w:p>
    <w:p w14:paraId="1AAFB085" w14:textId="77777777" w:rsidR="00C36AFB" w:rsidRDefault="00C36AFB" w:rsidP="0023452C">
      <w:pPr>
        <w:pStyle w:val="BodyText"/>
        <w:numPr>
          <w:ilvl w:val="0"/>
          <w:numId w:val="16"/>
        </w:numPr>
        <w:rPr>
          <w:lang w:val="en-US"/>
        </w:rPr>
      </w:pPr>
      <w:r>
        <w:rPr>
          <w:lang w:val="en-US"/>
        </w:rPr>
        <w:t>The Chief Executive Officer or delegate of AEMO</w:t>
      </w:r>
    </w:p>
    <w:p w14:paraId="611398AF" w14:textId="77777777" w:rsidR="00C36AFB" w:rsidRDefault="00C36AFB" w:rsidP="0023452C">
      <w:pPr>
        <w:pStyle w:val="BodyText"/>
        <w:numPr>
          <w:ilvl w:val="0"/>
          <w:numId w:val="16"/>
        </w:numPr>
        <w:rPr>
          <w:lang w:val="en-US"/>
        </w:rPr>
      </w:pPr>
      <w:r>
        <w:rPr>
          <w:lang w:val="en-US"/>
        </w:rPr>
        <w:lastRenderedPageBreak/>
        <w:t>The Chief Executive Officer or delegate of the Australian Energy Regulator (AER)</w:t>
      </w:r>
    </w:p>
    <w:p w14:paraId="47D55E85" w14:textId="77777777" w:rsidR="00C36AFB" w:rsidRDefault="00C36AFB" w:rsidP="0023452C">
      <w:pPr>
        <w:pStyle w:val="BodyText"/>
        <w:numPr>
          <w:ilvl w:val="0"/>
          <w:numId w:val="16"/>
        </w:numPr>
        <w:rPr>
          <w:lang w:val="en-US"/>
        </w:rPr>
      </w:pPr>
      <w:r>
        <w:rPr>
          <w:lang w:val="en-US"/>
        </w:rPr>
        <w:t>Two members that represent Registered Participants separately:</w:t>
      </w:r>
    </w:p>
    <w:p w14:paraId="5F97F233" w14:textId="77777777" w:rsidR="00C36AFB" w:rsidRDefault="00C36AFB" w:rsidP="0023452C">
      <w:pPr>
        <w:pStyle w:val="BodyText"/>
        <w:numPr>
          <w:ilvl w:val="1"/>
          <w:numId w:val="16"/>
        </w:numPr>
        <w:rPr>
          <w:lang w:val="en-US"/>
        </w:rPr>
      </w:pPr>
      <w:r>
        <w:rPr>
          <w:lang w:val="en-US"/>
        </w:rPr>
        <w:t xml:space="preserve">Market Aggregators </w:t>
      </w:r>
    </w:p>
    <w:p w14:paraId="63337F38" w14:textId="77777777" w:rsidR="00C36AFB" w:rsidRDefault="00C36AFB" w:rsidP="0023452C">
      <w:pPr>
        <w:pStyle w:val="BodyText"/>
        <w:numPr>
          <w:ilvl w:val="1"/>
          <w:numId w:val="16"/>
        </w:numPr>
        <w:rPr>
          <w:lang w:val="en-US"/>
        </w:rPr>
      </w:pPr>
      <w:r>
        <w:rPr>
          <w:lang w:val="en-US"/>
        </w:rPr>
        <w:t>Distribution Network Service Providers (DNSPs)</w:t>
      </w:r>
    </w:p>
    <w:p w14:paraId="49A46860" w14:textId="77777777" w:rsidR="00C36AFB" w:rsidRDefault="00C36AFB" w:rsidP="0023452C">
      <w:pPr>
        <w:pStyle w:val="BodyText"/>
        <w:numPr>
          <w:ilvl w:val="0"/>
          <w:numId w:val="16"/>
        </w:numPr>
        <w:rPr>
          <w:lang w:val="en-US"/>
        </w:rPr>
      </w:pPr>
      <w:r>
        <w:rPr>
          <w:lang w:val="en-US"/>
        </w:rPr>
        <w:t xml:space="preserve">A person representing the interests of consumers </w:t>
      </w:r>
    </w:p>
    <w:p w14:paraId="43450D55" w14:textId="77777777" w:rsidR="00C36AFB" w:rsidRDefault="00C36AFB" w:rsidP="0023452C">
      <w:pPr>
        <w:pStyle w:val="BodyText"/>
        <w:numPr>
          <w:ilvl w:val="0"/>
          <w:numId w:val="16"/>
        </w:numPr>
        <w:rPr>
          <w:lang w:val="en-US"/>
        </w:rPr>
      </w:pPr>
      <w:r>
        <w:rPr>
          <w:lang w:val="en-US"/>
        </w:rPr>
        <w:t xml:space="preserve">A representative of Standards Australia </w:t>
      </w:r>
    </w:p>
    <w:p w14:paraId="4B1D4348" w14:textId="77777777" w:rsidR="00C36AFB" w:rsidRDefault="00C36AFB" w:rsidP="0023452C">
      <w:pPr>
        <w:pStyle w:val="BodyText"/>
        <w:numPr>
          <w:ilvl w:val="0"/>
          <w:numId w:val="16"/>
        </w:numPr>
        <w:rPr>
          <w:lang w:val="en-US"/>
        </w:rPr>
      </w:pPr>
      <w:r>
        <w:rPr>
          <w:lang w:val="en-US"/>
        </w:rPr>
        <w:t>A representative for DER Original Equipment Manufacturers (OEMs)</w:t>
      </w:r>
    </w:p>
    <w:p w14:paraId="3CAAECFC" w14:textId="77777777" w:rsidR="00C36AFB" w:rsidRDefault="00C36AFB" w:rsidP="0023452C">
      <w:pPr>
        <w:pStyle w:val="BodyText"/>
        <w:numPr>
          <w:ilvl w:val="0"/>
          <w:numId w:val="16"/>
        </w:numPr>
        <w:rPr>
          <w:lang w:val="en-US"/>
        </w:rPr>
      </w:pPr>
      <w:r>
        <w:rPr>
          <w:lang w:val="en-US"/>
        </w:rPr>
        <w:t xml:space="preserve">A representative from non-NEM jurisdiction with DER expertise </w:t>
      </w:r>
    </w:p>
    <w:p w14:paraId="0452527F" w14:textId="77777777" w:rsidR="00C36AFB" w:rsidRDefault="00C36AFB" w:rsidP="0023452C">
      <w:pPr>
        <w:pStyle w:val="BodyText"/>
        <w:numPr>
          <w:ilvl w:val="0"/>
          <w:numId w:val="16"/>
        </w:numPr>
        <w:rPr>
          <w:lang w:val="en-US"/>
        </w:rPr>
      </w:pPr>
      <w:r>
        <w:rPr>
          <w:lang w:val="en-US"/>
        </w:rPr>
        <w:t>A representative of jurisdictional regulators</w:t>
      </w:r>
    </w:p>
    <w:p w14:paraId="65338888" w14:textId="46B31622" w:rsidR="00C36AFB" w:rsidRDefault="00C36AFB" w:rsidP="00C36AFB">
      <w:pPr>
        <w:pStyle w:val="BodyText"/>
        <w:rPr>
          <w:lang w:val="en-US"/>
        </w:rPr>
      </w:pPr>
      <w:r>
        <w:rPr>
          <w:lang w:val="en-US"/>
        </w:rPr>
        <w:t>We observe that just one of the proposed eleven Governance Committee members represents the interest of consumers who are the party that will incur any increased costs associated with the implementation of this proposed change and also the party that will have the most influence on the successful uptake, or otherwise, of DER.  Absent consumers</w:t>
      </w:r>
      <w:r>
        <w:rPr>
          <w:lang w:val="en-US"/>
        </w:rPr>
        <w:t>’</w:t>
      </w:r>
      <w:r>
        <w:rPr>
          <w:lang w:val="en-US"/>
        </w:rPr>
        <w:t xml:space="preserve"> willingness to participate in the provision of DER, the overall uptake of DER will </w:t>
      </w:r>
      <w:proofErr w:type="gramStart"/>
      <w:r>
        <w:rPr>
          <w:lang w:val="en-US"/>
        </w:rPr>
        <w:t>remain</w:t>
      </w:r>
      <w:proofErr w:type="gramEnd"/>
      <w:r>
        <w:rPr>
          <w:lang w:val="en-US"/>
        </w:rPr>
        <w:t xml:space="preserve"> lower than that which would be an efficient outcome.</w:t>
      </w:r>
    </w:p>
    <w:p w14:paraId="0509C4AB" w14:textId="341654E1" w:rsidR="00C36AFB" w:rsidRDefault="00C36AFB" w:rsidP="00C36AFB">
      <w:pPr>
        <w:pStyle w:val="BodyText"/>
        <w:rPr>
          <w:lang w:val="en-US"/>
        </w:rPr>
      </w:pPr>
      <w:r>
        <w:rPr>
          <w:lang w:val="en-US"/>
        </w:rPr>
        <w:t xml:space="preserve">In this context, we do not see how the Governance Committee will possibly be able to achieve lowest cost outcomes, as it will lack adequate perspective of the factors impacting DER uptake. We recommend, instead, that the Governance Committee reflect balanced representation of demand-side and supply-side perspectives. In addition, we consider it important for demand-side representatives to fully cover a broad range of consumers, including both large and small energy users noting that for large energy users there is scope for </w:t>
      </w:r>
      <w:r>
        <w:rPr>
          <w:lang w:val="en-US"/>
        </w:rPr>
        <w:t xml:space="preserve">significant </w:t>
      </w:r>
      <w:r>
        <w:rPr>
          <w:lang w:val="en-US"/>
        </w:rPr>
        <w:t>DER uptake.</w:t>
      </w:r>
      <w:r w:rsidR="006712B1">
        <w:rPr>
          <w:lang w:val="en-US"/>
        </w:rPr>
        <w:t xml:space="preserve"> We consider that, at minimum, the Governance Committee should include:</w:t>
      </w:r>
    </w:p>
    <w:p w14:paraId="62CA7FE1" w14:textId="77777777" w:rsidR="00C36AFB" w:rsidRDefault="00C36AFB" w:rsidP="0023452C">
      <w:pPr>
        <w:pStyle w:val="BodyText"/>
        <w:numPr>
          <w:ilvl w:val="0"/>
          <w:numId w:val="18"/>
        </w:numPr>
        <w:rPr>
          <w:lang w:val="en-US"/>
        </w:rPr>
      </w:pPr>
      <w:r>
        <w:rPr>
          <w:lang w:val="en-US"/>
        </w:rPr>
        <w:t xml:space="preserve">Two members that represent consumers </w:t>
      </w:r>
    </w:p>
    <w:p w14:paraId="0D98B794" w14:textId="77777777" w:rsidR="00C36AFB" w:rsidRDefault="00C36AFB" w:rsidP="0023452C">
      <w:pPr>
        <w:pStyle w:val="BodyText"/>
        <w:numPr>
          <w:ilvl w:val="0"/>
          <w:numId w:val="19"/>
        </w:numPr>
        <w:ind w:left="1418"/>
        <w:rPr>
          <w:lang w:val="en-US"/>
        </w:rPr>
      </w:pPr>
      <w:r>
        <w:rPr>
          <w:lang w:val="en-US"/>
        </w:rPr>
        <w:t>One representative for large consumers (&lt; 100 MWh)</w:t>
      </w:r>
    </w:p>
    <w:p w14:paraId="36C75E44" w14:textId="77777777" w:rsidR="00C36AFB" w:rsidRDefault="00C36AFB" w:rsidP="0023452C">
      <w:pPr>
        <w:pStyle w:val="BodyText"/>
        <w:numPr>
          <w:ilvl w:val="0"/>
          <w:numId w:val="19"/>
        </w:numPr>
        <w:ind w:left="1418"/>
        <w:rPr>
          <w:lang w:val="en-US"/>
        </w:rPr>
      </w:pPr>
      <w:r>
        <w:rPr>
          <w:lang w:val="en-US"/>
        </w:rPr>
        <w:t>One representative for small consumers (&gt; 100 MWh)</w:t>
      </w:r>
    </w:p>
    <w:p w14:paraId="197824B5" w14:textId="2BAC6BEE" w:rsidR="00C36AFB" w:rsidRDefault="00C36AFB" w:rsidP="00C36AFB">
      <w:pPr>
        <w:pStyle w:val="BodyText"/>
        <w:rPr>
          <w:lang w:val="en-US"/>
        </w:rPr>
      </w:pPr>
      <w:r>
        <w:rPr>
          <w:lang w:val="en-US"/>
        </w:rPr>
        <w:t xml:space="preserve">Whilst the </w:t>
      </w:r>
      <w:r w:rsidR="006712B1">
        <w:rPr>
          <w:lang w:val="en-US"/>
        </w:rPr>
        <w:t>consultation paper</w:t>
      </w:r>
      <w:r>
        <w:rPr>
          <w:lang w:val="en-US"/>
        </w:rPr>
        <w:t xml:space="preserve"> refers to Market Aggregators as a representative of registered participants, we recommend that this be amended to;</w:t>
      </w:r>
    </w:p>
    <w:p w14:paraId="3124EA9A" w14:textId="77777777" w:rsidR="00C36AFB" w:rsidRDefault="00C36AFB" w:rsidP="0023452C">
      <w:pPr>
        <w:pStyle w:val="BodyText"/>
        <w:numPr>
          <w:ilvl w:val="0"/>
          <w:numId w:val="17"/>
        </w:numPr>
        <w:rPr>
          <w:lang w:val="en-US"/>
        </w:rPr>
      </w:pPr>
      <w:r>
        <w:rPr>
          <w:lang w:val="en-US"/>
        </w:rPr>
        <w:t>Demand Response Service Provider or Market Small Generator Aggregator or Market Customer,</w:t>
      </w:r>
    </w:p>
    <w:p w14:paraId="7048EE48" w14:textId="77777777" w:rsidR="00C36AFB" w:rsidRDefault="00C36AFB" w:rsidP="00C36AFB">
      <w:pPr>
        <w:pStyle w:val="BodyText"/>
        <w:rPr>
          <w:lang w:val="en-US"/>
        </w:rPr>
      </w:pPr>
      <w:r>
        <w:rPr>
          <w:lang w:val="en-US"/>
        </w:rPr>
        <w:t>to more adequately reflect the range of market participants that will potentially be involved in the development of DER in the NEM.</w:t>
      </w:r>
    </w:p>
    <w:p w14:paraId="0E96F108" w14:textId="77777777" w:rsidR="00C36AFB" w:rsidRDefault="00C36AFB" w:rsidP="00C36AFB">
      <w:pPr>
        <w:pStyle w:val="BodyText"/>
        <w:rPr>
          <w:lang w:val="en-US"/>
        </w:rPr>
      </w:pPr>
      <w:r>
        <w:rPr>
          <w:lang w:val="en-US"/>
        </w:rPr>
        <w:t xml:space="preserve">If you would like to discuss this submission further, please contact Sarah Paparo on 0421 230 198 or </w:t>
      </w:r>
      <w:hyperlink r:id="rId12" w:history="1">
        <w:r>
          <w:rPr>
            <w:rStyle w:val="Hyperlink"/>
            <w:lang w:val="en-US"/>
          </w:rPr>
          <w:t>spaparo@ermpower.com.au</w:t>
        </w:r>
      </w:hyperlink>
      <w:r>
        <w:rPr>
          <w:lang w:val="en-US"/>
        </w:rPr>
        <w:t>.</w:t>
      </w:r>
    </w:p>
    <w:p w14:paraId="4FA96E36" w14:textId="77777777" w:rsidR="00C36AFB" w:rsidRDefault="00C36AFB" w:rsidP="00C36AFB">
      <w:pPr>
        <w:pStyle w:val="BodyText"/>
        <w:rPr>
          <w:lang w:val="en-US"/>
        </w:rPr>
      </w:pPr>
      <w:r>
        <w:rPr>
          <w:lang w:val="en-US"/>
        </w:rPr>
        <w:br/>
        <w:t>Yours sincerely,</w:t>
      </w:r>
      <w:r>
        <w:rPr>
          <w:lang w:val="en-US"/>
        </w:rPr>
        <w:br/>
      </w:r>
    </w:p>
    <w:p w14:paraId="31F5F133" w14:textId="77777777" w:rsidR="00C36AFB" w:rsidRDefault="00C36AFB" w:rsidP="00C36AFB">
      <w:pPr>
        <w:pStyle w:val="BodyText"/>
        <w:rPr>
          <w:lang w:val="en-US"/>
        </w:rPr>
      </w:pPr>
      <w:r>
        <w:rPr>
          <w:lang w:val="en-US"/>
        </w:rPr>
        <w:t>[signed]</w:t>
      </w:r>
      <w:r>
        <w:rPr>
          <w:lang w:val="en-US"/>
        </w:rPr>
        <w:br/>
      </w:r>
    </w:p>
    <w:p w14:paraId="0D9C2E07" w14:textId="5F64F103" w:rsidR="000551FF" w:rsidRDefault="00C36AFB" w:rsidP="00C36AFB">
      <w:pPr>
        <w:pStyle w:val="BodyText"/>
        <w:rPr>
          <w:lang w:val="en-US"/>
        </w:rPr>
      </w:pPr>
      <w:r>
        <w:rPr>
          <w:lang w:val="en-US"/>
        </w:rPr>
        <w:t>Libby Hawker</w:t>
      </w:r>
      <w:r>
        <w:rPr>
          <w:lang w:val="en-US"/>
        </w:rPr>
        <w:br/>
        <w:t xml:space="preserve">Senior Manager – Regulatory Affairs </w:t>
      </w:r>
      <w:r>
        <w:rPr>
          <w:lang w:val="en-US"/>
        </w:rPr>
        <w:br/>
        <w:t>03 9214 9324 - LHawker@ermpower.com.au</w:t>
      </w:r>
    </w:p>
    <w:sectPr w:rsidR="000551FF" w:rsidSect="00DA6AC1">
      <w:headerReference w:type="default" r:id="rId13"/>
      <w:footerReference w:type="default" r:id="rId14"/>
      <w:headerReference w:type="first" r:id="rId15"/>
      <w:footerReference w:type="first" r:id="rId16"/>
      <w:pgSz w:w="11906" w:h="16838" w:code="9"/>
      <w:pgMar w:top="3232" w:right="851"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A6E625" w14:textId="77777777" w:rsidR="00127AAA" w:rsidRDefault="00127AAA" w:rsidP="00AF320E">
      <w:r>
        <w:separator/>
      </w:r>
    </w:p>
  </w:endnote>
  <w:endnote w:type="continuationSeparator" w:id="0">
    <w:p w14:paraId="5346FDBA" w14:textId="77777777" w:rsidR="00127AAA" w:rsidRDefault="00127AAA" w:rsidP="00AF3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w:charset w:val="00"/>
    <w:family w:val="auto"/>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otham Light">
    <w:panose1 w:val="00000000000000000000"/>
    <w:charset w:val="00"/>
    <w:family w:val="modern"/>
    <w:notTrueType/>
    <w:pitch w:val="variable"/>
    <w:sig w:usb0="A00000FF" w:usb1="4000004A" w:usb2="00000000" w:usb3="00000000" w:csb0="0000000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3401"/>
      <w:gridCol w:w="3401"/>
      <w:gridCol w:w="3402"/>
    </w:tblGrid>
    <w:tr w:rsidR="00821CE1" w14:paraId="394FAC25" w14:textId="77777777" w:rsidTr="00501D68">
      <w:tc>
        <w:tcPr>
          <w:tcW w:w="3401" w:type="dxa"/>
        </w:tcPr>
        <w:p w14:paraId="49C76141" w14:textId="77777777" w:rsidR="00821CE1" w:rsidRPr="00523F1C" w:rsidRDefault="00821CE1" w:rsidP="00821CE1">
          <w:pPr>
            <w:pStyle w:val="Footer"/>
            <w:tabs>
              <w:tab w:val="clear" w:pos="4513"/>
              <w:tab w:val="clear" w:pos="9026"/>
            </w:tabs>
            <w:jc w:val="left"/>
          </w:pPr>
        </w:p>
      </w:tc>
      <w:tc>
        <w:tcPr>
          <w:tcW w:w="3401" w:type="dxa"/>
        </w:tcPr>
        <w:p w14:paraId="00EADC8C" w14:textId="77777777" w:rsidR="00821CE1" w:rsidRPr="00523F1C" w:rsidRDefault="00821CE1" w:rsidP="00821CE1">
          <w:pPr>
            <w:pStyle w:val="Footer"/>
            <w:tabs>
              <w:tab w:val="clear" w:pos="4513"/>
              <w:tab w:val="clear" w:pos="9026"/>
            </w:tabs>
            <w:rPr>
              <w:noProof/>
            </w:rPr>
          </w:pPr>
          <w:r w:rsidRPr="00523F1C">
            <w:t xml:space="preserve">Page </w:t>
          </w:r>
          <w:r w:rsidRPr="00523F1C">
            <w:fldChar w:fldCharType="begin"/>
          </w:r>
          <w:r w:rsidRPr="00523F1C">
            <w:instrText xml:space="preserve"> PAGE </w:instrText>
          </w:r>
          <w:r w:rsidRPr="00523F1C">
            <w:fldChar w:fldCharType="separate"/>
          </w:r>
          <w:r w:rsidR="001F25BA">
            <w:rPr>
              <w:noProof/>
            </w:rPr>
            <w:t>2</w:t>
          </w:r>
          <w:r w:rsidRPr="00523F1C">
            <w:fldChar w:fldCharType="end"/>
          </w:r>
          <w:r w:rsidRPr="00523F1C">
            <w:t xml:space="preserve"> of </w:t>
          </w:r>
          <w:r w:rsidRPr="00523F1C">
            <w:rPr>
              <w:noProof/>
            </w:rPr>
            <w:fldChar w:fldCharType="begin"/>
          </w:r>
          <w:r w:rsidRPr="00523F1C">
            <w:rPr>
              <w:noProof/>
            </w:rPr>
            <w:instrText xml:space="preserve"> NUMPAGES </w:instrText>
          </w:r>
          <w:r w:rsidRPr="00523F1C">
            <w:rPr>
              <w:noProof/>
            </w:rPr>
            <w:fldChar w:fldCharType="separate"/>
          </w:r>
          <w:r w:rsidR="001F25BA">
            <w:rPr>
              <w:noProof/>
            </w:rPr>
            <w:t>2</w:t>
          </w:r>
          <w:r w:rsidRPr="00523F1C">
            <w:rPr>
              <w:noProof/>
            </w:rPr>
            <w:fldChar w:fldCharType="end"/>
          </w:r>
        </w:p>
      </w:tc>
      <w:tc>
        <w:tcPr>
          <w:tcW w:w="3402" w:type="dxa"/>
          <w:vAlign w:val="bottom"/>
        </w:tcPr>
        <w:p w14:paraId="4D1BA9D8" w14:textId="77777777" w:rsidR="00821CE1" w:rsidRPr="00523F1C" w:rsidRDefault="00821CE1" w:rsidP="00821CE1">
          <w:pPr>
            <w:pStyle w:val="Footer"/>
            <w:tabs>
              <w:tab w:val="clear" w:pos="4513"/>
              <w:tab w:val="clear" w:pos="9026"/>
            </w:tabs>
            <w:jc w:val="right"/>
            <w:rPr>
              <w:b w:val="0"/>
              <w:color w:val="A6A6A6" w:themeColor="background1" w:themeShade="A6"/>
              <w:sz w:val="12"/>
            </w:rPr>
          </w:pPr>
          <w:r w:rsidRPr="00FE4622">
            <w:rPr>
              <w:b w:val="0"/>
              <w:noProof/>
              <w:color w:val="A6A6A6" w:themeColor="background1" w:themeShade="A6"/>
              <w:sz w:val="12"/>
            </w:rPr>
            <w:t>ERM00082.0</w:t>
          </w:r>
          <w:r>
            <w:rPr>
              <w:b w:val="0"/>
              <w:noProof/>
              <w:color w:val="A6A6A6" w:themeColor="background1" w:themeShade="A6"/>
              <w:sz w:val="12"/>
            </w:rPr>
            <w:t>1</w:t>
          </w:r>
        </w:p>
      </w:tc>
    </w:tr>
  </w:tbl>
  <w:p w14:paraId="408BE33B" w14:textId="77777777" w:rsidR="00FB6F2C" w:rsidRPr="00821CE1" w:rsidRDefault="00FB6F2C" w:rsidP="00821CE1">
    <w:pPr>
      <w:pStyle w:val="Footer"/>
      <w:rPr>
        <w:b w:val="0"/>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3401"/>
      <w:gridCol w:w="3401"/>
      <w:gridCol w:w="3402"/>
    </w:tblGrid>
    <w:tr w:rsidR="00821CE1" w14:paraId="48FA93D6" w14:textId="77777777" w:rsidTr="00501D68">
      <w:tc>
        <w:tcPr>
          <w:tcW w:w="3401" w:type="dxa"/>
        </w:tcPr>
        <w:p w14:paraId="221F10B8" w14:textId="77777777" w:rsidR="00821CE1" w:rsidRPr="00523F1C" w:rsidRDefault="00821CE1" w:rsidP="00821CE1">
          <w:pPr>
            <w:pStyle w:val="Footer"/>
            <w:tabs>
              <w:tab w:val="clear" w:pos="4513"/>
              <w:tab w:val="clear" w:pos="9026"/>
            </w:tabs>
            <w:jc w:val="left"/>
          </w:pPr>
        </w:p>
      </w:tc>
      <w:tc>
        <w:tcPr>
          <w:tcW w:w="3401" w:type="dxa"/>
        </w:tcPr>
        <w:p w14:paraId="1CD13831" w14:textId="77777777" w:rsidR="00821CE1" w:rsidRPr="00523F1C" w:rsidRDefault="00821CE1" w:rsidP="00821CE1">
          <w:pPr>
            <w:pStyle w:val="Footer"/>
            <w:tabs>
              <w:tab w:val="clear" w:pos="4513"/>
              <w:tab w:val="clear" w:pos="9026"/>
            </w:tabs>
            <w:rPr>
              <w:noProof/>
            </w:rPr>
          </w:pPr>
          <w:r w:rsidRPr="00523F1C">
            <w:t xml:space="preserve">Page </w:t>
          </w:r>
          <w:r w:rsidRPr="00523F1C">
            <w:fldChar w:fldCharType="begin"/>
          </w:r>
          <w:r w:rsidRPr="00523F1C">
            <w:instrText xml:space="preserve"> PAGE </w:instrText>
          </w:r>
          <w:r w:rsidRPr="00523F1C">
            <w:fldChar w:fldCharType="separate"/>
          </w:r>
          <w:r w:rsidR="001F25BA">
            <w:rPr>
              <w:noProof/>
            </w:rPr>
            <w:t>1</w:t>
          </w:r>
          <w:r w:rsidRPr="00523F1C">
            <w:fldChar w:fldCharType="end"/>
          </w:r>
          <w:r w:rsidRPr="00523F1C">
            <w:t xml:space="preserve"> of </w:t>
          </w:r>
          <w:r w:rsidRPr="00523F1C">
            <w:rPr>
              <w:noProof/>
            </w:rPr>
            <w:fldChar w:fldCharType="begin"/>
          </w:r>
          <w:r w:rsidRPr="00523F1C">
            <w:rPr>
              <w:noProof/>
            </w:rPr>
            <w:instrText xml:space="preserve"> NUMPAGES </w:instrText>
          </w:r>
          <w:r w:rsidRPr="00523F1C">
            <w:rPr>
              <w:noProof/>
            </w:rPr>
            <w:fldChar w:fldCharType="separate"/>
          </w:r>
          <w:r w:rsidR="001F25BA">
            <w:rPr>
              <w:noProof/>
            </w:rPr>
            <w:t>2</w:t>
          </w:r>
          <w:r w:rsidRPr="00523F1C">
            <w:rPr>
              <w:noProof/>
            </w:rPr>
            <w:fldChar w:fldCharType="end"/>
          </w:r>
        </w:p>
      </w:tc>
      <w:tc>
        <w:tcPr>
          <w:tcW w:w="3402" w:type="dxa"/>
          <w:vAlign w:val="bottom"/>
        </w:tcPr>
        <w:p w14:paraId="21655F02" w14:textId="77777777" w:rsidR="00821CE1" w:rsidRPr="00523F1C" w:rsidRDefault="00821CE1" w:rsidP="00821CE1">
          <w:pPr>
            <w:pStyle w:val="Footer"/>
            <w:tabs>
              <w:tab w:val="clear" w:pos="4513"/>
              <w:tab w:val="clear" w:pos="9026"/>
            </w:tabs>
            <w:jc w:val="right"/>
            <w:rPr>
              <w:b w:val="0"/>
              <w:color w:val="A6A6A6" w:themeColor="background1" w:themeShade="A6"/>
              <w:sz w:val="12"/>
            </w:rPr>
          </w:pPr>
          <w:r w:rsidRPr="00FE4622">
            <w:rPr>
              <w:b w:val="0"/>
              <w:noProof/>
              <w:color w:val="A6A6A6" w:themeColor="background1" w:themeShade="A6"/>
              <w:sz w:val="12"/>
            </w:rPr>
            <w:t>ERM00082.0</w:t>
          </w:r>
          <w:r>
            <w:rPr>
              <w:b w:val="0"/>
              <w:noProof/>
              <w:color w:val="A6A6A6" w:themeColor="background1" w:themeShade="A6"/>
              <w:sz w:val="12"/>
            </w:rPr>
            <w:t>1</w:t>
          </w:r>
        </w:p>
      </w:tc>
    </w:tr>
  </w:tbl>
  <w:p w14:paraId="500656DA" w14:textId="77777777" w:rsidR="00FB6F2C" w:rsidRPr="00821CE1" w:rsidRDefault="00FB6F2C" w:rsidP="00821CE1">
    <w:pPr>
      <w:pStyle w:val="Footer"/>
      <w:rPr>
        <w:b w:val="0"/>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8468AD" w14:textId="77777777" w:rsidR="00127AAA" w:rsidRDefault="00127AAA" w:rsidP="00AF320E">
      <w:r>
        <w:separator/>
      </w:r>
    </w:p>
  </w:footnote>
  <w:footnote w:type="continuationSeparator" w:id="0">
    <w:p w14:paraId="141D8423" w14:textId="77777777" w:rsidR="00127AAA" w:rsidRDefault="00127AAA" w:rsidP="00AF320E">
      <w:r>
        <w:continuationSeparator/>
      </w:r>
    </w:p>
  </w:footnote>
  <w:footnote w:id="1">
    <w:p w14:paraId="5AFDE33E" w14:textId="77777777" w:rsidR="00C36AFB" w:rsidRPr="001F25BA" w:rsidRDefault="00C36AFB" w:rsidP="00C36AFB">
      <w:pPr>
        <w:pStyle w:val="FootnoteText"/>
        <w:rPr>
          <w:sz w:val="16"/>
          <w:szCs w:val="16"/>
        </w:rPr>
      </w:pPr>
      <w:r w:rsidRPr="001F25BA">
        <w:rPr>
          <w:rStyle w:val="FootnoteReference"/>
          <w:sz w:val="16"/>
          <w:szCs w:val="16"/>
        </w:rPr>
        <w:footnoteRef/>
      </w:r>
      <w:r w:rsidRPr="001F25BA">
        <w:rPr>
          <w:sz w:val="16"/>
          <w:szCs w:val="16"/>
        </w:rPr>
        <w:t xml:space="preserve"> Based on ERM Power analysis of latest published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02251" w14:textId="77777777" w:rsidR="00DA6AC1" w:rsidRDefault="00DA6AC1" w:rsidP="00DA6AC1">
    <w:pPr>
      <w:pStyle w:val="Header"/>
    </w:pPr>
    <w:r>
      <w:rPr>
        <w:noProof/>
        <w:lang w:eastAsia="en-AU"/>
      </w:rPr>
      <w:drawing>
        <wp:anchor distT="0" distB="0" distL="114300" distR="114300" simplePos="0" relativeHeight="251663360" behindDoc="1" locked="1" layoutInCell="1" allowOverlap="1" wp14:anchorId="1F9E1C12" wp14:editId="0FA7A161">
          <wp:simplePos x="0" y="0"/>
          <wp:positionH relativeFrom="page">
            <wp:posOffset>381635</wp:posOffset>
          </wp:positionH>
          <wp:positionV relativeFrom="page">
            <wp:posOffset>165735</wp:posOffset>
          </wp:positionV>
          <wp:extent cx="1717200" cy="1717200"/>
          <wp:effectExtent l="0" t="0" r="0" b="0"/>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M_Logo_MAIN_NoStrap_RGB_WEB.png"/>
                  <pic:cNvPicPr/>
                </pic:nvPicPr>
                <pic:blipFill>
                  <a:blip r:embed="rId1">
                    <a:extLst>
                      <a:ext uri="{28A0092B-C50C-407E-A947-70E740481C1C}">
                        <a14:useLocalDpi xmlns:a14="http://schemas.microsoft.com/office/drawing/2010/main" val="0"/>
                      </a:ext>
                    </a:extLst>
                  </a:blip>
                  <a:stretch>
                    <a:fillRect/>
                  </a:stretch>
                </pic:blipFill>
                <pic:spPr>
                  <a:xfrm>
                    <a:off x="0" y="0"/>
                    <a:ext cx="1717200" cy="171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Address"/>
      <w:tag w:val="[Double click into the header and choose an address]"/>
      <w:id w:val="1823937642"/>
      <w:docPartList>
        <w:docPartGallery w:val="Custom 1"/>
        <w:docPartCategory w:val="Address Block"/>
      </w:docPartList>
    </w:sdtPr>
    <w:sdtEndPr/>
    <w:sdtContent>
      <w:p w14:paraId="78D9578F" w14:textId="77777777" w:rsidR="001F25BA" w:rsidRDefault="001F25BA" w:rsidP="0018620F">
        <w:pPr>
          <w:pStyle w:val="Header"/>
          <w:rPr>
            <w:color w:val="auto"/>
            <w:sz w:val="20"/>
          </w:rPr>
        </w:pPr>
        <w:r>
          <w:rPr>
            <w:noProof/>
            <w:lang w:eastAsia="en-AU"/>
          </w:rPr>
          <w:drawing>
            <wp:anchor distT="0" distB="0" distL="114300" distR="114300" simplePos="0" relativeHeight="251665408" behindDoc="1" locked="1" layoutInCell="1" allowOverlap="1" wp14:anchorId="2CE6BA9D" wp14:editId="2A91F19A">
              <wp:simplePos x="0" y="0"/>
              <wp:positionH relativeFrom="page">
                <wp:align>left</wp:align>
              </wp:positionH>
              <wp:positionV relativeFrom="page">
                <wp:posOffset>338455</wp:posOffset>
              </wp:positionV>
              <wp:extent cx="7556400" cy="1458000"/>
              <wp:effectExtent l="0" t="0" r="6985" b="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s.png"/>
                      <pic:cNvPicPr/>
                    </pic:nvPicPr>
                    <pic:blipFill rotWithShape="1">
                      <a:blip r:embed="rId1">
                        <a:extLst>
                          <a:ext uri="{28A0092B-C50C-407E-A947-70E740481C1C}">
                            <a14:useLocalDpi xmlns:a14="http://schemas.microsoft.com/office/drawing/2010/main" val="0"/>
                          </a:ext>
                        </a:extLst>
                      </a:blip>
                      <a:srcRect t="19009"/>
                      <a:stretch/>
                    </pic:blipFill>
                    <pic:spPr bwMode="auto">
                      <a:xfrm>
                        <a:off x="0" y="0"/>
                        <a:ext cx="7556400" cy="145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5010747" w14:textId="77777777" w:rsidR="001F25BA" w:rsidRDefault="001F25BA">
        <w:pPr>
          <w:pStyle w:val="Header"/>
        </w:pPr>
      </w:p>
      <w:p w14:paraId="53811239" w14:textId="77777777" w:rsidR="001E4814" w:rsidRDefault="00192D0E" w:rsidP="001E4814">
        <w:pPr>
          <w:pStyle w:val="Header"/>
          <w:rPr>
            <w:color w:val="auto"/>
            <w:sz w:val="20"/>
          </w:rPr>
        </w:pPr>
      </w:p>
    </w:sdtContent>
  </w:sdt>
  <w:p w14:paraId="19A4EFF9" w14:textId="77777777" w:rsidR="001E4814" w:rsidRDefault="001E48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F0380"/>
    <w:multiLevelType w:val="multilevel"/>
    <w:tmpl w:val="A906D87A"/>
    <w:numStyleLink w:val="ListTableBullet"/>
  </w:abstractNum>
  <w:abstractNum w:abstractNumId="1" w15:restartNumberingAfterBreak="0">
    <w:nsid w:val="09250374"/>
    <w:multiLevelType w:val="hybridMultilevel"/>
    <w:tmpl w:val="66AC672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D726A9"/>
    <w:multiLevelType w:val="multilevel"/>
    <w:tmpl w:val="632E4D1C"/>
    <w:styleLink w:val="ListAppendix"/>
    <w:lvl w:ilvl="0">
      <w:start w:val="1"/>
      <w:numFmt w:val="upperLetter"/>
      <w:pStyle w:val="AppendixH1"/>
      <w:lvlText w:val="Appendix %1"/>
      <w:lvlJc w:val="left"/>
      <w:pPr>
        <w:tabs>
          <w:tab w:val="num" w:pos="2268"/>
        </w:tabs>
        <w:ind w:left="2268" w:hanging="2268"/>
      </w:pPr>
      <w:rPr>
        <w:rFonts w:hint="default"/>
      </w:rPr>
    </w:lvl>
    <w:lvl w:ilvl="1">
      <w:start w:val="1"/>
      <w:numFmt w:val="decimal"/>
      <w:pStyle w:val="AppendixH2"/>
      <w:lvlText w:val="%1-%2"/>
      <w:lvlJc w:val="left"/>
      <w:pPr>
        <w:tabs>
          <w:tab w:val="num" w:pos="1134"/>
        </w:tabs>
        <w:ind w:left="1134" w:hanging="1134"/>
      </w:pPr>
      <w:rPr>
        <w:rFonts w:hint="default"/>
      </w:rPr>
    </w:lvl>
    <w:lvl w:ilvl="2">
      <w:start w:val="1"/>
      <w:numFmt w:val="decimal"/>
      <w:pStyle w:val="AppendixH3"/>
      <w:lvlText w:val="%1-%2-%3"/>
      <w:lvlJc w:val="left"/>
      <w:pPr>
        <w:tabs>
          <w:tab w:val="num" w:pos="1134"/>
        </w:tabs>
        <w:ind w:left="1134" w:hanging="1134"/>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0EF75435"/>
    <w:multiLevelType w:val="multilevel"/>
    <w:tmpl w:val="88B4D9D6"/>
    <w:styleLink w:val="ListAlpha"/>
    <w:lvl w:ilvl="0">
      <w:start w:val="1"/>
      <w:numFmt w:val="lowerLetter"/>
      <w:pStyle w:val="ListAlpha0"/>
      <w:lvlText w:val="%1."/>
      <w:lvlJc w:val="left"/>
      <w:pPr>
        <w:tabs>
          <w:tab w:val="num" w:pos="425"/>
        </w:tabs>
        <w:ind w:left="425" w:hanging="425"/>
      </w:pPr>
      <w:rPr>
        <w:rFonts w:hint="default"/>
        <w:color w:val="192E58" w:themeColor="accent1"/>
      </w:rPr>
    </w:lvl>
    <w:lvl w:ilvl="1">
      <w:start w:val="1"/>
      <w:numFmt w:val="lowerRoman"/>
      <w:pStyle w:val="ListAlpha2"/>
      <w:lvlText w:val="%2."/>
      <w:lvlJc w:val="left"/>
      <w:pPr>
        <w:tabs>
          <w:tab w:val="num" w:pos="850"/>
        </w:tabs>
        <w:ind w:left="850" w:hanging="425"/>
      </w:pPr>
      <w:rPr>
        <w:rFonts w:hint="default"/>
        <w:color w:val="192E58" w:themeColor="accent1"/>
      </w:rPr>
    </w:lvl>
    <w:lvl w:ilvl="2">
      <w:start w:val="1"/>
      <w:numFmt w:val="decimal"/>
      <w:pStyle w:val="ListAlpha3"/>
      <w:lvlText w:val="%3."/>
      <w:lvlJc w:val="left"/>
      <w:pPr>
        <w:tabs>
          <w:tab w:val="num" w:pos="1275"/>
        </w:tabs>
        <w:ind w:left="1275" w:hanging="425"/>
      </w:pPr>
      <w:rPr>
        <w:rFonts w:hint="default"/>
        <w:color w:val="192E58" w:themeColor="accent1"/>
      </w:rPr>
    </w:lvl>
    <w:lvl w:ilvl="3">
      <w:start w:val="1"/>
      <w:numFmt w:val="upperLetter"/>
      <w:pStyle w:val="ListAlpha4"/>
      <w:lvlText w:val="%4."/>
      <w:lvlJc w:val="left"/>
      <w:pPr>
        <w:tabs>
          <w:tab w:val="num" w:pos="1700"/>
        </w:tabs>
        <w:ind w:left="1700" w:hanging="425"/>
      </w:pPr>
      <w:rPr>
        <w:rFonts w:hint="default"/>
        <w:color w:val="192E58" w:themeColor="accent1"/>
      </w:rPr>
    </w:lvl>
    <w:lvl w:ilvl="4">
      <w:start w:val="1"/>
      <w:numFmt w:val="upperRoman"/>
      <w:pStyle w:val="ListAlpha5"/>
      <w:lvlText w:val="%5."/>
      <w:lvlJc w:val="left"/>
      <w:pPr>
        <w:tabs>
          <w:tab w:val="num" w:pos="2125"/>
        </w:tabs>
        <w:ind w:left="2125" w:hanging="425"/>
      </w:pPr>
      <w:rPr>
        <w:rFonts w:hint="default"/>
        <w:color w:val="192E58" w:themeColor="accent1"/>
      </w:rPr>
    </w:lvl>
    <w:lvl w:ilvl="5">
      <w:start w:val="1"/>
      <w:numFmt w:val="lowerLetter"/>
      <w:pStyle w:val="ListAlpha6"/>
      <w:lvlText w:val="%6."/>
      <w:lvlJc w:val="left"/>
      <w:pPr>
        <w:tabs>
          <w:tab w:val="num" w:pos="2550"/>
        </w:tabs>
        <w:ind w:left="2550" w:hanging="425"/>
      </w:pPr>
      <w:rPr>
        <w:rFonts w:hint="default"/>
        <w:color w:val="192E58" w:themeColor="accent1"/>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4" w15:restartNumberingAfterBreak="0">
    <w:nsid w:val="1A4E610B"/>
    <w:multiLevelType w:val="multilevel"/>
    <w:tmpl w:val="0B76EB08"/>
    <w:styleLink w:val="ListNumber"/>
    <w:lvl w:ilvl="0">
      <w:start w:val="1"/>
      <w:numFmt w:val="decimal"/>
      <w:pStyle w:val="ListNumber0"/>
      <w:lvlText w:val="%1."/>
      <w:lvlJc w:val="left"/>
      <w:pPr>
        <w:tabs>
          <w:tab w:val="num" w:pos="0"/>
        </w:tabs>
        <w:ind w:left="425" w:hanging="425"/>
      </w:pPr>
      <w:rPr>
        <w:rFonts w:hint="default"/>
        <w:color w:val="192E58" w:themeColor="accent1"/>
      </w:rPr>
    </w:lvl>
    <w:lvl w:ilvl="1">
      <w:start w:val="1"/>
      <w:numFmt w:val="lowerLetter"/>
      <w:pStyle w:val="ListNumber2"/>
      <w:lvlText w:val="%2."/>
      <w:lvlJc w:val="left"/>
      <w:pPr>
        <w:tabs>
          <w:tab w:val="num" w:pos="850"/>
        </w:tabs>
        <w:ind w:left="850" w:hanging="425"/>
      </w:pPr>
      <w:rPr>
        <w:rFonts w:hint="default"/>
        <w:color w:val="192E58" w:themeColor="accent1"/>
      </w:rPr>
    </w:lvl>
    <w:lvl w:ilvl="2">
      <w:start w:val="1"/>
      <w:numFmt w:val="lowerRoman"/>
      <w:pStyle w:val="ListNumber3"/>
      <w:lvlText w:val="%3."/>
      <w:lvlJc w:val="left"/>
      <w:pPr>
        <w:tabs>
          <w:tab w:val="num" w:pos="1275"/>
        </w:tabs>
        <w:ind w:left="1275" w:hanging="425"/>
      </w:pPr>
      <w:rPr>
        <w:rFonts w:hint="default"/>
        <w:color w:val="192E58" w:themeColor="accent1"/>
      </w:rPr>
    </w:lvl>
    <w:lvl w:ilvl="3">
      <w:start w:val="1"/>
      <w:numFmt w:val="upperLetter"/>
      <w:pStyle w:val="ListNumber4"/>
      <w:lvlText w:val="%4."/>
      <w:lvlJc w:val="left"/>
      <w:pPr>
        <w:tabs>
          <w:tab w:val="num" w:pos="1700"/>
        </w:tabs>
        <w:ind w:left="1700" w:hanging="425"/>
      </w:pPr>
      <w:rPr>
        <w:rFonts w:hint="default"/>
        <w:color w:val="192E58" w:themeColor="accent1"/>
      </w:rPr>
    </w:lvl>
    <w:lvl w:ilvl="4">
      <w:start w:val="1"/>
      <w:numFmt w:val="upperRoman"/>
      <w:pStyle w:val="ListNumber5"/>
      <w:lvlText w:val="%5."/>
      <w:lvlJc w:val="left"/>
      <w:pPr>
        <w:tabs>
          <w:tab w:val="num" w:pos="2125"/>
        </w:tabs>
        <w:ind w:left="2125" w:hanging="425"/>
      </w:pPr>
      <w:rPr>
        <w:rFonts w:hint="default"/>
        <w:color w:val="192E58" w:themeColor="accent1"/>
      </w:rPr>
    </w:lvl>
    <w:lvl w:ilvl="5">
      <w:start w:val="1"/>
      <w:numFmt w:val="decimal"/>
      <w:pStyle w:val="ListNumber6"/>
      <w:lvlText w:val="%6."/>
      <w:lvlJc w:val="left"/>
      <w:pPr>
        <w:tabs>
          <w:tab w:val="num" w:pos="2550"/>
        </w:tabs>
        <w:ind w:left="2550" w:hanging="425"/>
      </w:pPr>
      <w:rPr>
        <w:rFonts w:hint="default"/>
        <w:color w:val="192E58" w:themeColor="accent1"/>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5" w15:restartNumberingAfterBreak="0">
    <w:nsid w:val="1D737170"/>
    <w:multiLevelType w:val="multilevel"/>
    <w:tmpl w:val="794003F6"/>
    <w:styleLink w:val="ListNbrHeading"/>
    <w:lvl w:ilvl="0">
      <w:start w:val="1"/>
      <w:numFmt w:val="decimal"/>
      <w:pStyle w:val="NbrHeading1"/>
      <w:lvlText w:val="%1."/>
      <w:lvlJc w:val="left"/>
      <w:pPr>
        <w:tabs>
          <w:tab w:val="num" w:pos="1134"/>
        </w:tabs>
        <w:ind w:left="1134" w:hanging="1134"/>
      </w:pPr>
      <w:rPr>
        <w:rFonts w:hint="default"/>
      </w:rPr>
    </w:lvl>
    <w:lvl w:ilvl="1">
      <w:start w:val="1"/>
      <w:numFmt w:val="decimal"/>
      <w:pStyle w:val="NbrHeading2"/>
      <w:lvlText w:val="%1.%2"/>
      <w:lvlJc w:val="left"/>
      <w:pPr>
        <w:tabs>
          <w:tab w:val="num" w:pos="1134"/>
        </w:tabs>
        <w:ind w:left="1134" w:hanging="1134"/>
      </w:pPr>
      <w:rPr>
        <w:rFonts w:hint="default"/>
      </w:rPr>
    </w:lvl>
    <w:lvl w:ilvl="2">
      <w:start w:val="1"/>
      <w:numFmt w:val="decimal"/>
      <w:pStyle w:val="NbrHeading3"/>
      <w:lvlText w:val="%1.%2.%3"/>
      <w:lvlJc w:val="left"/>
      <w:pPr>
        <w:tabs>
          <w:tab w:val="num" w:pos="1134"/>
        </w:tabs>
        <w:ind w:left="1134" w:hanging="1134"/>
      </w:pPr>
      <w:rPr>
        <w:rFonts w:hint="default"/>
      </w:rPr>
    </w:lvl>
    <w:lvl w:ilvl="3">
      <w:start w:val="1"/>
      <w:numFmt w:val="decimal"/>
      <w:pStyle w:val="NbrHeading4"/>
      <w:lvlText w:val="%1.%2.%3.%4"/>
      <w:lvlJc w:val="left"/>
      <w:pPr>
        <w:tabs>
          <w:tab w:val="num" w:pos="1134"/>
        </w:tabs>
        <w:ind w:left="1134" w:hanging="1134"/>
      </w:pPr>
      <w:rPr>
        <w:rFonts w:hint="default"/>
      </w:rPr>
    </w:lvl>
    <w:lvl w:ilvl="4">
      <w:start w:val="1"/>
      <w:numFmt w:val="decimal"/>
      <w:pStyle w:val="NbrHeading5"/>
      <w:lvlText w:val="%1.%2.%3.%4.%5"/>
      <w:lvlJc w:val="left"/>
      <w:pPr>
        <w:tabs>
          <w:tab w:val="num" w:pos="1134"/>
        </w:tabs>
        <w:ind w:left="1134" w:hanging="1134"/>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27B57907"/>
    <w:multiLevelType w:val="multilevel"/>
    <w:tmpl w:val="A906D87A"/>
    <w:styleLink w:val="ListTableBullet"/>
    <w:lvl w:ilvl="0">
      <w:start w:val="1"/>
      <w:numFmt w:val="bullet"/>
      <w:pStyle w:val="TableBullet"/>
      <w:lvlText w:val=""/>
      <w:lvlJc w:val="left"/>
      <w:pPr>
        <w:tabs>
          <w:tab w:val="num" w:pos="397"/>
        </w:tabs>
        <w:ind w:left="397" w:hanging="284"/>
      </w:pPr>
      <w:rPr>
        <w:rFonts w:ascii="Symbol" w:hAnsi="Symbol" w:hint="default"/>
        <w:color w:val="192E58" w:themeColor="accent1"/>
      </w:rPr>
    </w:lvl>
    <w:lvl w:ilvl="1">
      <w:start w:val="1"/>
      <w:numFmt w:val="bullet"/>
      <w:pStyle w:val="TableBullet2"/>
      <w:lvlText w:val="–"/>
      <w:lvlJc w:val="left"/>
      <w:pPr>
        <w:tabs>
          <w:tab w:val="num" w:pos="680"/>
        </w:tabs>
        <w:ind w:left="680" w:hanging="283"/>
      </w:pPr>
      <w:rPr>
        <w:rFonts w:ascii="Arial Rounded MT" w:hAnsi="Arial Rounded MT" w:hint="default"/>
        <w:color w:val="192E58" w:themeColor="accent1"/>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 w15:restartNumberingAfterBreak="0">
    <w:nsid w:val="29973E80"/>
    <w:multiLevelType w:val="multilevel"/>
    <w:tmpl w:val="D442603C"/>
    <w:styleLink w:val="ListTableNumber"/>
    <w:lvl w:ilvl="0">
      <w:start w:val="1"/>
      <w:numFmt w:val="decimal"/>
      <w:pStyle w:val="TableNumber"/>
      <w:lvlText w:val="%1."/>
      <w:lvlJc w:val="left"/>
      <w:pPr>
        <w:tabs>
          <w:tab w:val="num" w:pos="397"/>
        </w:tabs>
        <w:ind w:left="397" w:hanging="284"/>
      </w:pPr>
      <w:rPr>
        <w:rFonts w:hint="default"/>
        <w:color w:val="192E58" w:themeColor="accent1"/>
      </w:rPr>
    </w:lvl>
    <w:lvl w:ilvl="1">
      <w:start w:val="1"/>
      <w:numFmt w:val="lowerLetter"/>
      <w:pStyle w:val="TableNumber2"/>
      <w:lvlText w:val="%2."/>
      <w:lvlJc w:val="left"/>
      <w:pPr>
        <w:tabs>
          <w:tab w:val="num" w:pos="680"/>
        </w:tabs>
        <w:ind w:left="680" w:hanging="283"/>
      </w:pPr>
      <w:rPr>
        <w:rFonts w:hint="default"/>
        <w:color w:val="192E58" w:themeColor="accent1"/>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8" w15:restartNumberingAfterBreak="0">
    <w:nsid w:val="3BF26A71"/>
    <w:multiLevelType w:val="multilevel"/>
    <w:tmpl w:val="E9B44B6A"/>
    <w:styleLink w:val="ListParagraph"/>
    <w:lvl w:ilvl="0">
      <w:start w:val="1"/>
      <w:numFmt w:val="none"/>
      <w:pStyle w:val="ListParagraph0"/>
      <w:lvlText w:val=""/>
      <w:lvlJc w:val="left"/>
      <w:pPr>
        <w:ind w:left="425" w:firstLine="0"/>
      </w:pPr>
      <w:rPr>
        <w:rFonts w:hint="default"/>
      </w:rPr>
    </w:lvl>
    <w:lvl w:ilvl="1">
      <w:start w:val="1"/>
      <w:numFmt w:val="none"/>
      <w:pStyle w:val="ListParagraph2"/>
      <w:lvlText w:val=""/>
      <w:lvlJc w:val="left"/>
      <w:pPr>
        <w:ind w:left="851" w:hanging="1"/>
      </w:pPr>
      <w:rPr>
        <w:rFonts w:hint="default"/>
      </w:rPr>
    </w:lvl>
    <w:lvl w:ilvl="2">
      <w:start w:val="1"/>
      <w:numFmt w:val="none"/>
      <w:pStyle w:val="ListParagraph3"/>
      <w:lvlText w:val=""/>
      <w:lvlJc w:val="left"/>
      <w:pPr>
        <w:ind w:left="1276" w:hanging="1"/>
      </w:pPr>
      <w:rPr>
        <w:rFonts w:hint="default"/>
      </w:rPr>
    </w:lvl>
    <w:lvl w:ilvl="3">
      <w:start w:val="1"/>
      <w:numFmt w:val="none"/>
      <w:pStyle w:val="ListParagraph4"/>
      <w:lvlText w:val=""/>
      <w:lvlJc w:val="left"/>
      <w:pPr>
        <w:ind w:left="1701" w:hanging="1"/>
      </w:pPr>
      <w:rPr>
        <w:rFonts w:hint="default"/>
      </w:rPr>
    </w:lvl>
    <w:lvl w:ilvl="4">
      <w:start w:val="1"/>
      <w:numFmt w:val="none"/>
      <w:pStyle w:val="ListParagraph5"/>
      <w:lvlText w:val=""/>
      <w:lvlJc w:val="left"/>
      <w:pPr>
        <w:ind w:left="2126" w:hanging="1"/>
      </w:pPr>
      <w:rPr>
        <w:rFonts w:hint="default"/>
      </w:rPr>
    </w:lvl>
    <w:lvl w:ilvl="5">
      <w:start w:val="1"/>
      <w:numFmt w:val="none"/>
      <w:pStyle w:val="ListParagraph6"/>
      <w:lvlText w:val=""/>
      <w:lvlJc w:val="left"/>
      <w:pPr>
        <w:ind w:left="2552" w:hanging="2"/>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3DBD2EFB"/>
    <w:multiLevelType w:val="hybridMultilevel"/>
    <w:tmpl w:val="2D92AD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0071FAE"/>
    <w:multiLevelType w:val="multilevel"/>
    <w:tmpl w:val="9D625AA6"/>
    <w:styleLink w:val="ListNumberedHeadings"/>
    <w:lvl w:ilvl="0">
      <w:start w:val="1"/>
      <w:numFmt w:val="decimal"/>
      <w:lvlText w:val="%1"/>
      <w:lvlJc w:val="left"/>
      <w:pPr>
        <w:tabs>
          <w:tab w:val="num" w:pos="1134"/>
        </w:tabs>
        <w:ind w:left="1134" w:hanging="1134"/>
      </w:pPr>
      <w:rPr>
        <w:rFonts w:asciiTheme="majorHAnsi" w:hAnsiTheme="majorHAnsi" w:hint="default"/>
        <w:color w:val="F15A22" w:themeColor="accent2"/>
      </w:rPr>
    </w:lvl>
    <w:lvl w:ilvl="1">
      <w:start w:val="1"/>
      <w:numFmt w:val="decimal"/>
      <w:lvlText w:val="%1.%2"/>
      <w:lvlJc w:val="left"/>
      <w:pPr>
        <w:tabs>
          <w:tab w:val="num" w:pos="1134"/>
        </w:tabs>
        <w:ind w:left="1134" w:hanging="1134"/>
      </w:pPr>
      <w:rPr>
        <w:rFonts w:ascii="Gotham Light" w:hAnsi="Gotham Light" w:hint="default"/>
        <w:color w:val="00B3DD" w:themeColor="accent3"/>
      </w:rPr>
    </w:lvl>
    <w:lvl w:ilvl="2">
      <w:start w:val="1"/>
      <w:numFmt w:val="decimal"/>
      <w:lvlText w:val="%1.%2.%3"/>
      <w:lvlJc w:val="left"/>
      <w:pPr>
        <w:tabs>
          <w:tab w:val="num" w:pos="1134"/>
        </w:tabs>
        <w:ind w:left="1134" w:hanging="1134"/>
      </w:pPr>
      <w:rPr>
        <w:rFonts w:asciiTheme="majorHAnsi" w:hAnsiTheme="majorHAnsi" w:hint="default"/>
        <w:color w:val="192E58" w:themeColor="accent1"/>
      </w:rPr>
    </w:lvl>
    <w:lvl w:ilvl="3">
      <w:start w:val="1"/>
      <w:numFmt w:val="decimal"/>
      <w:lvlText w:val="%1.%2.%3.%4"/>
      <w:lvlJc w:val="left"/>
      <w:pPr>
        <w:tabs>
          <w:tab w:val="num" w:pos="1134"/>
        </w:tabs>
        <w:ind w:left="1134" w:hanging="1134"/>
      </w:pPr>
      <w:rPr>
        <w:rFonts w:asciiTheme="majorHAnsi" w:hAnsiTheme="majorHAnsi" w:hint="default"/>
        <w:color w:val="auto"/>
        <w:sz w:val="18"/>
      </w:rPr>
    </w:lvl>
    <w:lvl w:ilvl="4">
      <w:start w:val="1"/>
      <w:numFmt w:val="decimal"/>
      <w:lvlText w:val="%1.%2.%3.%4.%5"/>
      <w:lvlJc w:val="left"/>
      <w:pPr>
        <w:tabs>
          <w:tab w:val="num" w:pos="1134"/>
        </w:tabs>
        <w:ind w:left="1134" w:hanging="1134"/>
      </w:pPr>
      <w:rPr>
        <w:rFonts w:asciiTheme="majorHAnsi" w:hAnsiTheme="majorHAnsi" w:hint="default"/>
        <w:color w:val="F15A22" w:themeColor="accent2"/>
        <w:sz w:val="18"/>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11" w15:restartNumberingAfterBreak="0">
    <w:nsid w:val="40134CF7"/>
    <w:multiLevelType w:val="multilevel"/>
    <w:tmpl w:val="D442603C"/>
    <w:numStyleLink w:val="ListTableNumber"/>
  </w:abstractNum>
  <w:abstractNum w:abstractNumId="12" w15:restartNumberingAfterBreak="0">
    <w:nsid w:val="446C1C93"/>
    <w:multiLevelType w:val="multilevel"/>
    <w:tmpl w:val="2F6CA4A0"/>
    <w:numStyleLink w:val="ListBullet"/>
  </w:abstractNum>
  <w:abstractNum w:abstractNumId="13" w15:restartNumberingAfterBreak="0">
    <w:nsid w:val="52AA0A7D"/>
    <w:multiLevelType w:val="multilevel"/>
    <w:tmpl w:val="E9B44B6A"/>
    <w:numStyleLink w:val="ListParagraph"/>
  </w:abstractNum>
  <w:abstractNum w:abstractNumId="14" w15:restartNumberingAfterBreak="0">
    <w:nsid w:val="5F062630"/>
    <w:multiLevelType w:val="hybridMultilevel"/>
    <w:tmpl w:val="6BDAFDB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0E0448A"/>
    <w:multiLevelType w:val="multilevel"/>
    <w:tmpl w:val="88B4D9D6"/>
    <w:numStyleLink w:val="ListAlpha"/>
  </w:abstractNum>
  <w:abstractNum w:abstractNumId="16" w15:restartNumberingAfterBreak="0">
    <w:nsid w:val="64A6051D"/>
    <w:multiLevelType w:val="hybridMultilevel"/>
    <w:tmpl w:val="BB9E25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AD36E14"/>
    <w:multiLevelType w:val="multilevel"/>
    <w:tmpl w:val="0B76EB08"/>
    <w:numStyleLink w:val="ListNumber"/>
  </w:abstractNum>
  <w:abstractNum w:abstractNumId="18" w15:restartNumberingAfterBreak="0">
    <w:nsid w:val="725B532E"/>
    <w:multiLevelType w:val="multilevel"/>
    <w:tmpl w:val="2F6CA4A0"/>
    <w:styleLink w:val="ListBullet"/>
    <w:lvl w:ilvl="0">
      <w:start w:val="1"/>
      <w:numFmt w:val="bullet"/>
      <w:pStyle w:val="ListBullet0"/>
      <w:lvlText w:val=""/>
      <w:lvlJc w:val="left"/>
      <w:pPr>
        <w:tabs>
          <w:tab w:val="num" w:pos="425"/>
        </w:tabs>
        <w:ind w:left="425" w:hanging="425"/>
      </w:pPr>
      <w:rPr>
        <w:rFonts w:ascii="Symbol" w:hAnsi="Symbol" w:hint="default"/>
        <w:color w:val="192E58" w:themeColor="accent1"/>
      </w:rPr>
    </w:lvl>
    <w:lvl w:ilvl="1">
      <w:start w:val="1"/>
      <w:numFmt w:val="bullet"/>
      <w:pStyle w:val="ListBullet2"/>
      <w:lvlText w:val="–"/>
      <w:lvlJc w:val="left"/>
      <w:pPr>
        <w:tabs>
          <w:tab w:val="num" w:pos="850"/>
        </w:tabs>
        <w:ind w:left="850" w:hanging="425"/>
      </w:pPr>
      <w:rPr>
        <w:rFonts w:ascii="Arial Rounded MT" w:hAnsi="Arial Rounded MT" w:hint="default"/>
        <w:color w:val="192E58" w:themeColor="accent1"/>
      </w:rPr>
    </w:lvl>
    <w:lvl w:ilvl="2">
      <w:start w:val="1"/>
      <w:numFmt w:val="bullet"/>
      <w:pStyle w:val="ListBullet3"/>
      <w:lvlText w:val=""/>
      <w:lvlJc w:val="left"/>
      <w:pPr>
        <w:tabs>
          <w:tab w:val="num" w:pos="1275"/>
        </w:tabs>
        <w:ind w:left="1275" w:hanging="425"/>
      </w:pPr>
      <w:rPr>
        <w:rFonts w:ascii="Symbol" w:hAnsi="Symbol" w:hint="default"/>
        <w:color w:val="192E58" w:themeColor="accent1"/>
      </w:rPr>
    </w:lvl>
    <w:lvl w:ilvl="3">
      <w:start w:val="1"/>
      <w:numFmt w:val="bullet"/>
      <w:pStyle w:val="ListBullet4"/>
      <w:lvlText w:val="–"/>
      <w:lvlJc w:val="left"/>
      <w:pPr>
        <w:tabs>
          <w:tab w:val="num" w:pos="1700"/>
        </w:tabs>
        <w:ind w:left="1700" w:hanging="425"/>
      </w:pPr>
      <w:rPr>
        <w:rFonts w:ascii="Arial Rounded MT" w:hAnsi="Arial Rounded MT" w:hint="default"/>
        <w:color w:val="192E58" w:themeColor="accent1"/>
      </w:rPr>
    </w:lvl>
    <w:lvl w:ilvl="4">
      <w:start w:val="1"/>
      <w:numFmt w:val="bullet"/>
      <w:pStyle w:val="ListBullet5"/>
      <w:lvlText w:val=""/>
      <w:lvlJc w:val="left"/>
      <w:pPr>
        <w:tabs>
          <w:tab w:val="num" w:pos="2125"/>
        </w:tabs>
        <w:ind w:left="2125" w:hanging="425"/>
      </w:pPr>
      <w:rPr>
        <w:rFonts w:ascii="Symbol" w:hAnsi="Symbol" w:hint="default"/>
        <w:color w:val="192E58" w:themeColor="accent1"/>
      </w:rPr>
    </w:lvl>
    <w:lvl w:ilvl="5">
      <w:start w:val="1"/>
      <w:numFmt w:val="bullet"/>
      <w:pStyle w:val="ListBullet6"/>
      <w:lvlText w:val="–"/>
      <w:lvlJc w:val="left"/>
      <w:pPr>
        <w:tabs>
          <w:tab w:val="num" w:pos="2550"/>
        </w:tabs>
        <w:ind w:left="2550" w:hanging="425"/>
      </w:pPr>
      <w:rPr>
        <w:rFonts w:ascii="Arial Rounded MT" w:hAnsi="Arial Rounded MT" w:hint="default"/>
        <w:color w:val="192E58" w:themeColor="accent1"/>
      </w:rPr>
    </w:lvl>
    <w:lvl w:ilvl="6">
      <w:start w:val="1"/>
      <w:numFmt w:val="none"/>
      <w:lvlText w:val="%7"/>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num w:numId="1">
    <w:abstractNumId w:val="18"/>
  </w:num>
  <w:num w:numId="2">
    <w:abstractNumId w:val="4"/>
  </w:num>
  <w:num w:numId="3">
    <w:abstractNumId w:val="8"/>
  </w:num>
  <w:num w:numId="4">
    <w:abstractNumId w:val="3"/>
  </w:num>
  <w:num w:numId="5">
    <w:abstractNumId w:val="13"/>
  </w:num>
  <w:num w:numId="6">
    <w:abstractNumId w:val="5"/>
  </w:num>
  <w:num w:numId="7">
    <w:abstractNumId w:val="6"/>
  </w:num>
  <w:num w:numId="8">
    <w:abstractNumId w:val="7"/>
  </w:num>
  <w:num w:numId="9">
    <w:abstractNumId w:val="2"/>
  </w:num>
  <w:num w:numId="10">
    <w:abstractNumId w:val="10"/>
  </w:num>
  <w:num w:numId="11">
    <w:abstractNumId w:val="12"/>
  </w:num>
  <w:num w:numId="12">
    <w:abstractNumId w:val="15"/>
  </w:num>
  <w:num w:numId="13">
    <w:abstractNumId w:val="17"/>
  </w:num>
  <w:num w:numId="14">
    <w:abstractNumId w:val="0"/>
  </w:num>
  <w:num w:numId="15">
    <w:abstractNumId w:val="11"/>
  </w:num>
  <w:num w:numId="16">
    <w:abstractNumId w:val="1"/>
  </w:num>
  <w:num w:numId="17">
    <w:abstractNumId w:val="9"/>
  </w:num>
  <w:num w:numId="18">
    <w:abstractNumId w:val="16"/>
  </w:num>
  <w:num w:numId="1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5BA"/>
    <w:rsid w:val="0000509E"/>
    <w:rsid w:val="00034CDB"/>
    <w:rsid w:val="0003544F"/>
    <w:rsid w:val="00046D99"/>
    <w:rsid w:val="000551FF"/>
    <w:rsid w:val="00075DDC"/>
    <w:rsid w:val="000829C3"/>
    <w:rsid w:val="000A017C"/>
    <w:rsid w:val="000B1128"/>
    <w:rsid w:val="000C0336"/>
    <w:rsid w:val="000C6ADD"/>
    <w:rsid w:val="000E0269"/>
    <w:rsid w:val="000E46A5"/>
    <w:rsid w:val="00100D4E"/>
    <w:rsid w:val="00103B1B"/>
    <w:rsid w:val="00111D31"/>
    <w:rsid w:val="00127AAA"/>
    <w:rsid w:val="001403F1"/>
    <w:rsid w:val="00174C74"/>
    <w:rsid w:val="00175BA3"/>
    <w:rsid w:val="001829D4"/>
    <w:rsid w:val="0018620F"/>
    <w:rsid w:val="00192D0E"/>
    <w:rsid w:val="001D27D1"/>
    <w:rsid w:val="001D280A"/>
    <w:rsid w:val="001D2F9B"/>
    <w:rsid w:val="001E4814"/>
    <w:rsid w:val="001E544B"/>
    <w:rsid w:val="001F25BA"/>
    <w:rsid w:val="001F41AE"/>
    <w:rsid w:val="001F7F7F"/>
    <w:rsid w:val="00217EED"/>
    <w:rsid w:val="002326D1"/>
    <w:rsid w:val="0023452C"/>
    <w:rsid w:val="00245773"/>
    <w:rsid w:val="00250A22"/>
    <w:rsid w:val="002524B7"/>
    <w:rsid w:val="00261789"/>
    <w:rsid w:val="00265875"/>
    <w:rsid w:val="0028043B"/>
    <w:rsid w:val="002930CE"/>
    <w:rsid w:val="002B5CAF"/>
    <w:rsid w:val="002C4091"/>
    <w:rsid w:val="002C770C"/>
    <w:rsid w:val="00324856"/>
    <w:rsid w:val="003344DF"/>
    <w:rsid w:val="003876AE"/>
    <w:rsid w:val="003A52FF"/>
    <w:rsid w:val="003A6FEE"/>
    <w:rsid w:val="003D01B6"/>
    <w:rsid w:val="003D3EBF"/>
    <w:rsid w:val="003F021C"/>
    <w:rsid w:val="0041789C"/>
    <w:rsid w:val="00421745"/>
    <w:rsid w:val="00445521"/>
    <w:rsid w:val="004540B7"/>
    <w:rsid w:val="004613D1"/>
    <w:rsid w:val="00481660"/>
    <w:rsid w:val="00485665"/>
    <w:rsid w:val="004A105C"/>
    <w:rsid w:val="004A7F1D"/>
    <w:rsid w:val="004E0727"/>
    <w:rsid w:val="00501494"/>
    <w:rsid w:val="00513C30"/>
    <w:rsid w:val="005340AC"/>
    <w:rsid w:val="00560AB3"/>
    <w:rsid w:val="00564B53"/>
    <w:rsid w:val="005B54F0"/>
    <w:rsid w:val="005B71EB"/>
    <w:rsid w:val="005D0167"/>
    <w:rsid w:val="005D19FC"/>
    <w:rsid w:val="005E427F"/>
    <w:rsid w:val="005E576F"/>
    <w:rsid w:val="005E7363"/>
    <w:rsid w:val="005F4683"/>
    <w:rsid w:val="00611E1B"/>
    <w:rsid w:val="006712B1"/>
    <w:rsid w:val="00674F53"/>
    <w:rsid w:val="0069562D"/>
    <w:rsid w:val="006C0E44"/>
    <w:rsid w:val="006E03EB"/>
    <w:rsid w:val="006E25D7"/>
    <w:rsid w:val="006E74B4"/>
    <w:rsid w:val="0071322B"/>
    <w:rsid w:val="00721947"/>
    <w:rsid w:val="00750ED3"/>
    <w:rsid w:val="00751469"/>
    <w:rsid w:val="00751AF0"/>
    <w:rsid w:val="007701F7"/>
    <w:rsid w:val="00783763"/>
    <w:rsid w:val="007B215D"/>
    <w:rsid w:val="007C38B8"/>
    <w:rsid w:val="007D7BE3"/>
    <w:rsid w:val="00821CE1"/>
    <w:rsid w:val="008259D9"/>
    <w:rsid w:val="0082734D"/>
    <w:rsid w:val="00834296"/>
    <w:rsid w:val="00862690"/>
    <w:rsid w:val="008771F3"/>
    <w:rsid w:val="008B74B1"/>
    <w:rsid w:val="008E0B8C"/>
    <w:rsid w:val="008E3AC3"/>
    <w:rsid w:val="00906B45"/>
    <w:rsid w:val="009161D0"/>
    <w:rsid w:val="00921908"/>
    <w:rsid w:val="00922D23"/>
    <w:rsid w:val="0093052B"/>
    <w:rsid w:val="0094436E"/>
    <w:rsid w:val="009664D4"/>
    <w:rsid w:val="00970541"/>
    <w:rsid w:val="00986F9B"/>
    <w:rsid w:val="009D6143"/>
    <w:rsid w:val="009F3881"/>
    <w:rsid w:val="00A202EE"/>
    <w:rsid w:val="00A34437"/>
    <w:rsid w:val="00A47937"/>
    <w:rsid w:val="00A61F75"/>
    <w:rsid w:val="00AA0F1C"/>
    <w:rsid w:val="00AB3427"/>
    <w:rsid w:val="00AB6AE1"/>
    <w:rsid w:val="00AD0164"/>
    <w:rsid w:val="00AD2E0A"/>
    <w:rsid w:val="00AF320E"/>
    <w:rsid w:val="00B025A4"/>
    <w:rsid w:val="00B025B0"/>
    <w:rsid w:val="00B215B0"/>
    <w:rsid w:val="00B21CFA"/>
    <w:rsid w:val="00B22A2E"/>
    <w:rsid w:val="00B36D9D"/>
    <w:rsid w:val="00B575A8"/>
    <w:rsid w:val="00B63ABF"/>
    <w:rsid w:val="00B65A91"/>
    <w:rsid w:val="00B70700"/>
    <w:rsid w:val="00B742E4"/>
    <w:rsid w:val="00BA2AEE"/>
    <w:rsid w:val="00BB2F31"/>
    <w:rsid w:val="00BC0E71"/>
    <w:rsid w:val="00BF02B2"/>
    <w:rsid w:val="00BF39BD"/>
    <w:rsid w:val="00C02BB5"/>
    <w:rsid w:val="00C04B30"/>
    <w:rsid w:val="00C11B6E"/>
    <w:rsid w:val="00C367E7"/>
    <w:rsid w:val="00C36A95"/>
    <w:rsid w:val="00C36AFB"/>
    <w:rsid w:val="00C74758"/>
    <w:rsid w:val="00C776A1"/>
    <w:rsid w:val="00C8613D"/>
    <w:rsid w:val="00C9154C"/>
    <w:rsid w:val="00CB1020"/>
    <w:rsid w:val="00D16D0A"/>
    <w:rsid w:val="00D604C7"/>
    <w:rsid w:val="00D61934"/>
    <w:rsid w:val="00D73374"/>
    <w:rsid w:val="00D7465A"/>
    <w:rsid w:val="00DA6AC1"/>
    <w:rsid w:val="00E262EF"/>
    <w:rsid w:val="00E33948"/>
    <w:rsid w:val="00E5165C"/>
    <w:rsid w:val="00E84013"/>
    <w:rsid w:val="00E85166"/>
    <w:rsid w:val="00E87A8D"/>
    <w:rsid w:val="00EA12E1"/>
    <w:rsid w:val="00ED07DC"/>
    <w:rsid w:val="00EE0F3D"/>
    <w:rsid w:val="00EE6422"/>
    <w:rsid w:val="00F05B5D"/>
    <w:rsid w:val="00F07C2A"/>
    <w:rsid w:val="00F12DAD"/>
    <w:rsid w:val="00F4017A"/>
    <w:rsid w:val="00F46CEA"/>
    <w:rsid w:val="00F663A1"/>
    <w:rsid w:val="00F87BDE"/>
    <w:rsid w:val="00FA4219"/>
    <w:rsid w:val="00FB6472"/>
    <w:rsid w:val="00FB6F2C"/>
    <w:rsid w:val="00FC0BC3"/>
    <w:rsid w:val="00FD1621"/>
    <w:rsid w:val="00FD1B36"/>
    <w:rsid w:val="00FE1A94"/>
    <w:rsid w:val="00FF0E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856A4C"/>
  <w15:chartTrackingRefBased/>
  <w15:docId w15:val="{60DFD906-2068-467E-8519-1B11BC231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semiHidden="1" w:uiPriority="39"/>
    <w:lsdException w:name="toc 8" w:uiPriority="39"/>
    <w:lsdException w:name="toc 9" w:semiHidden="1" w:uiPriority="39"/>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uiPriority="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qFormat="1"/>
    <w:lsdException w:name="List Number" w:uiPriority="2"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9"/>
    <w:lsdException w:name="List Bullet 3" w:uiPriority="19"/>
    <w:lsdException w:name="List Bullet 4" w:uiPriority="19"/>
    <w:lsdException w:name="List Bullet 5" w:uiPriority="19"/>
    <w:lsdException w:name="List Number 2" w:uiPriority="19"/>
    <w:lsdException w:name="List Number 3" w:uiPriority="19"/>
    <w:lsdException w:name="List Number 4" w:uiPriority="19"/>
    <w:lsdException w:name="List Number 5" w:uiPriority="19"/>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9"/>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5" w:unhideWhenUsed="1"/>
    <w:lsdException w:name="FollowedHyperlink" w:uiPriority="15"/>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8"/>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60AB3"/>
    <w:pPr>
      <w:spacing w:after="0" w:line="240" w:lineRule="auto"/>
    </w:pPr>
    <w:rPr>
      <w:sz w:val="20"/>
    </w:rPr>
  </w:style>
  <w:style w:type="paragraph" w:styleId="Heading1">
    <w:name w:val="heading 1"/>
    <w:basedOn w:val="Normal"/>
    <w:next w:val="BodyText"/>
    <w:link w:val="Heading1Char"/>
    <w:uiPriority w:val="1"/>
    <w:qFormat/>
    <w:rsid w:val="00BF02B2"/>
    <w:pPr>
      <w:keepNext/>
      <w:keepLines/>
      <w:spacing w:before="240" w:after="120"/>
      <w:outlineLvl w:val="0"/>
    </w:pPr>
    <w:rPr>
      <w:rFonts w:asciiTheme="majorHAnsi" w:eastAsia="Arial" w:hAnsiTheme="majorHAnsi" w:cstheme="majorBidi"/>
      <w:color w:val="192E58" w:themeColor="accent1"/>
      <w:sz w:val="32"/>
      <w:szCs w:val="32"/>
      <w:lang w:val="en-US"/>
    </w:rPr>
  </w:style>
  <w:style w:type="paragraph" w:styleId="Heading2">
    <w:name w:val="heading 2"/>
    <w:basedOn w:val="Normal"/>
    <w:next w:val="BodyText"/>
    <w:link w:val="Heading2Char"/>
    <w:uiPriority w:val="1"/>
    <w:qFormat/>
    <w:rsid w:val="00BF02B2"/>
    <w:pPr>
      <w:keepNext/>
      <w:keepLines/>
      <w:spacing w:before="240" w:after="120"/>
      <w:outlineLvl w:val="1"/>
    </w:pPr>
    <w:rPr>
      <w:rFonts w:asciiTheme="majorHAnsi" w:eastAsiaTheme="majorEastAsia" w:hAnsiTheme="majorHAnsi" w:cstheme="majorBidi"/>
      <w:color w:val="192E58" w:themeColor="accent1"/>
      <w:sz w:val="24"/>
      <w:szCs w:val="26"/>
    </w:rPr>
  </w:style>
  <w:style w:type="paragraph" w:styleId="Heading3">
    <w:name w:val="heading 3"/>
    <w:basedOn w:val="Normal"/>
    <w:next w:val="BodyText"/>
    <w:link w:val="Heading3Char"/>
    <w:uiPriority w:val="1"/>
    <w:qFormat/>
    <w:rsid w:val="00BF02B2"/>
    <w:pPr>
      <w:keepNext/>
      <w:keepLines/>
      <w:spacing w:before="240" w:after="120"/>
      <w:outlineLvl w:val="2"/>
    </w:pPr>
    <w:rPr>
      <w:rFonts w:asciiTheme="majorHAnsi" w:eastAsiaTheme="majorEastAsia" w:hAnsiTheme="majorHAnsi" w:cstheme="majorBidi"/>
      <w:b/>
      <w:color w:val="192E58" w:themeColor="accent1"/>
      <w:szCs w:val="24"/>
    </w:rPr>
  </w:style>
  <w:style w:type="paragraph" w:styleId="Heading4">
    <w:name w:val="heading 4"/>
    <w:basedOn w:val="Normal"/>
    <w:next w:val="BodyText"/>
    <w:link w:val="Heading4Char"/>
    <w:uiPriority w:val="1"/>
    <w:qFormat/>
    <w:rsid w:val="00BF02B2"/>
    <w:pPr>
      <w:keepNext/>
      <w:keepLines/>
      <w:spacing w:before="240" w:after="120"/>
      <w:outlineLvl w:val="3"/>
    </w:pPr>
    <w:rPr>
      <w:rFonts w:asciiTheme="majorHAnsi" w:eastAsiaTheme="majorEastAsia" w:hAnsiTheme="majorHAnsi" w:cstheme="majorBidi"/>
      <w:i/>
      <w:iCs/>
      <w:color w:val="192E58" w:themeColor="accent1"/>
    </w:rPr>
  </w:style>
  <w:style w:type="paragraph" w:styleId="Heading5">
    <w:name w:val="heading 5"/>
    <w:basedOn w:val="Normal"/>
    <w:next w:val="BodyText"/>
    <w:link w:val="Heading5Char"/>
    <w:uiPriority w:val="1"/>
    <w:rsid w:val="005E7363"/>
    <w:pPr>
      <w:keepNext/>
      <w:keepLines/>
      <w:spacing w:before="240" w:after="120"/>
      <w:outlineLvl w:val="4"/>
    </w:pPr>
    <w:rPr>
      <w:rFonts w:asciiTheme="majorHAnsi" w:eastAsiaTheme="majorEastAsia" w:hAnsiTheme="majorHAnsi"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0">
    <w:name w:val="List Paragraph"/>
    <w:basedOn w:val="BodyText"/>
    <w:uiPriority w:val="2"/>
    <w:qFormat/>
    <w:rsid w:val="00DA6AC1"/>
    <w:pPr>
      <w:numPr>
        <w:numId w:val="5"/>
      </w:numPr>
      <w:spacing w:before="60" w:after="60"/>
    </w:pPr>
  </w:style>
  <w:style w:type="paragraph" w:customStyle="1" w:styleId="ListParagraph2">
    <w:name w:val="List Paragraph 2"/>
    <w:basedOn w:val="ListParagraph0"/>
    <w:uiPriority w:val="19"/>
    <w:rsid w:val="005E7363"/>
    <w:pPr>
      <w:numPr>
        <w:ilvl w:val="1"/>
      </w:numPr>
    </w:pPr>
  </w:style>
  <w:style w:type="paragraph" w:customStyle="1" w:styleId="ListParagraph3">
    <w:name w:val="List Paragraph 3"/>
    <w:basedOn w:val="ListParagraph0"/>
    <w:uiPriority w:val="19"/>
    <w:rsid w:val="005E7363"/>
    <w:pPr>
      <w:numPr>
        <w:ilvl w:val="2"/>
      </w:numPr>
    </w:pPr>
  </w:style>
  <w:style w:type="paragraph" w:customStyle="1" w:styleId="ListParagraph4">
    <w:name w:val="List Paragraph 4"/>
    <w:basedOn w:val="ListParagraph0"/>
    <w:uiPriority w:val="19"/>
    <w:rsid w:val="005E7363"/>
    <w:pPr>
      <w:numPr>
        <w:ilvl w:val="3"/>
      </w:numPr>
    </w:pPr>
  </w:style>
  <w:style w:type="paragraph" w:customStyle="1" w:styleId="ListParagraph5">
    <w:name w:val="List Paragraph 5"/>
    <w:basedOn w:val="ListParagraph0"/>
    <w:uiPriority w:val="19"/>
    <w:rsid w:val="005E7363"/>
    <w:pPr>
      <w:numPr>
        <w:ilvl w:val="4"/>
      </w:numPr>
    </w:pPr>
  </w:style>
  <w:style w:type="character" w:customStyle="1" w:styleId="Heading1Char">
    <w:name w:val="Heading 1 Char"/>
    <w:basedOn w:val="DefaultParagraphFont"/>
    <w:link w:val="Heading1"/>
    <w:uiPriority w:val="1"/>
    <w:rsid w:val="00BF02B2"/>
    <w:rPr>
      <w:rFonts w:asciiTheme="majorHAnsi" w:eastAsia="Arial" w:hAnsiTheme="majorHAnsi" w:cstheme="majorBidi"/>
      <w:color w:val="192E58" w:themeColor="accent1"/>
      <w:sz w:val="32"/>
      <w:szCs w:val="32"/>
      <w:lang w:val="en-US"/>
    </w:rPr>
  </w:style>
  <w:style w:type="paragraph" w:customStyle="1" w:styleId="NbrHeading1">
    <w:name w:val="Nbr Heading 1"/>
    <w:basedOn w:val="Heading1"/>
    <w:next w:val="BodyText"/>
    <w:uiPriority w:val="1"/>
    <w:semiHidden/>
    <w:qFormat/>
    <w:rsid w:val="00834296"/>
    <w:pPr>
      <w:numPr>
        <w:numId w:val="6"/>
      </w:numPr>
    </w:pPr>
  </w:style>
  <w:style w:type="character" w:customStyle="1" w:styleId="Heading2Char">
    <w:name w:val="Heading 2 Char"/>
    <w:basedOn w:val="DefaultParagraphFont"/>
    <w:link w:val="Heading2"/>
    <w:uiPriority w:val="1"/>
    <w:rsid w:val="00BF02B2"/>
    <w:rPr>
      <w:rFonts w:asciiTheme="majorHAnsi" w:eastAsiaTheme="majorEastAsia" w:hAnsiTheme="majorHAnsi" w:cstheme="majorBidi"/>
      <w:color w:val="192E58" w:themeColor="accent1"/>
      <w:sz w:val="24"/>
      <w:szCs w:val="26"/>
    </w:rPr>
  </w:style>
  <w:style w:type="paragraph" w:customStyle="1" w:styleId="NbrHeading2">
    <w:name w:val="Nbr Heading 2"/>
    <w:basedOn w:val="Heading2"/>
    <w:next w:val="BodyText"/>
    <w:uiPriority w:val="1"/>
    <w:semiHidden/>
    <w:qFormat/>
    <w:rsid w:val="00834296"/>
    <w:pPr>
      <w:numPr>
        <w:ilvl w:val="1"/>
        <w:numId w:val="6"/>
      </w:numPr>
    </w:pPr>
  </w:style>
  <w:style w:type="character" w:customStyle="1" w:styleId="Heading3Char">
    <w:name w:val="Heading 3 Char"/>
    <w:basedOn w:val="DefaultParagraphFont"/>
    <w:link w:val="Heading3"/>
    <w:uiPriority w:val="1"/>
    <w:rsid w:val="00BF02B2"/>
    <w:rPr>
      <w:rFonts w:asciiTheme="majorHAnsi" w:eastAsiaTheme="majorEastAsia" w:hAnsiTheme="majorHAnsi" w:cstheme="majorBidi"/>
      <w:b/>
      <w:color w:val="192E58" w:themeColor="accent1"/>
      <w:sz w:val="20"/>
      <w:szCs w:val="24"/>
    </w:rPr>
  </w:style>
  <w:style w:type="paragraph" w:customStyle="1" w:styleId="NbrHeading3">
    <w:name w:val="Nbr Heading 3"/>
    <w:basedOn w:val="Heading3"/>
    <w:next w:val="BodyText"/>
    <w:uiPriority w:val="1"/>
    <w:semiHidden/>
    <w:qFormat/>
    <w:rsid w:val="00834296"/>
    <w:pPr>
      <w:numPr>
        <w:ilvl w:val="2"/>
        <w:numId w:val="6"/>
      </w:numPr>
    </w:pPr>
  </w:style>
  <w:style w:type="character" w:customStyle="1" w:styleId="Heading4Char">
    <w:name w:val="Heading 4 Char"/>
    <w:basedOn w:val="DefaultParagraphFont"/>
    <w:link w:val="Heading4"/>
    <w:uiPriority w:val="1"/>
    <w:rsid w:val="00BF02B2"/>
    <w:rPr>
      <w:rFonts w:asciiTheme="majorHAnsi" w:eastAsiaTheme="majorEastAsia" w:hAnsiTheme="majorHAnsi" w:cstheme="majorBidi"/>
      <w:i/>
      <w:iCs/>
      <w:color w:val="192E58" w:themeColor="accent1"/>
      <w:sz w:val="20"/>
    </w:rPr>
  </w:style>
  <w:style w:type="paragraph" w:customStyle="1" w:styleId="NbrHeading4">
    <w:name w:val="Nbr Heading 4"/>
    <w:basedOn w:val="Heading4"/>
    <w:next w:val="BodyText"/>
    <w:uiPriority w:val="1"/>
    <w:semiHidden/>
    <w:qFormat/>
    <w:rsid w:val="00834296"/>
    <w:pPr>
      <w:numPr>
        <w:ilvl w:val="3"/>
        <w:numId w:val="6"/>
      </w:numPr>
    </w:pPr>
  </w:style>
  <w:style w:type="character" w:customStyle="1" w:styleId="Heading5Char">
    <w:name w:val="Heading 5 Char"/>
    <w:basedOn w:val="DefaultParagraphFont"/>
    <w:link w:val="Heading5"/>
    <w:uiPriority w:val="1"/>
    <w:rsid w:val="005E7363"/>
    <w:rPr>
      <w:rFonts w:asciiTheme="majorHAnsi" w:eastAsiaTheme="majorEastAsia" w:hAnsiTheme="majorHAnsi" w:cstheme="majorBidi"/>
      <w:i/>
    </w:rPr>
  </w:style>
  <w:style w:type="paragraph" w:customStyle="1" w:styleId="NbrHeading5">
    <w:name w:val="Nbr Heading 5"/>
    <w:basedOn w:val="Heading5"/>
    <w:next w:val="BodyText"/>
    <w:uiPriority w:val="1"/>
    <w:semiHidden/>
    <w:qFormat/>
    <w:rsid w:val="00834296"/>
    <w:pPr>
      <w:numPr>
        <w:ilvl w:val="4"/>
        <w:numId w:val="6"/>
      </w:numPr>
    </w:pPr>
  </w:style>
  <w:style w:type="paragraph" w:styleId="Caption">
    <w:name w:val="caption"/>
    <w:basedOn w:val="Normal"/>
    <w:next w:val="FigureStyle"/>
    <w:uiPriority w:val="6"/>
    <w:qFormat/>
    <w:rsid w:val="000E0269"/>
    <w:pPr>
      <w:tabs>
        <w:tab w:val="left" w:pos="1134"/>
      </w:tabs>
      <w:spacing w:before="120" w:after="240"/>
      <w:ind w:left="1134" w:hanging="1134"/>
      <w:jc w:val="center"/>
    </w:pPr>
    <w:rPr>
      <w:iCs/>
      <w:color w:val="473192" w:themeColor="text2"/>
      <w:sz w:val="16"/>
      <w:szCs w:val="18"/>
    </w:rPr>
  </w:style>
  <w:style w:type="paragraph" w:customStyle="1" w:styleId="TableCaption">
    <w:name w:val="Table Caption"/>
    <w:basedOn w:val="BodyText"/>
    <w:next w:val="BodyText"/>
    <w:uiPriority w:val="6"/>
    <w:qFormat/>
    <w:rsid w:val="000E0269"/>
    <w:pPr>
      <w:keepNext/>
      <w:tabs>
        <w:tab w:val="left" w:pos="1134"/>
      </w:tabs>
      <w:spacing w:before="240" w:line="240" w:lineRule="auto"/>
      <w:ind w:left="1134" w:hanging="1134"/>
    </w:pPr>
    <w:rPr>
      <w:color w:val="473192" w:themeColor="text2"/>
      <w:sz w:val="16"/>
    </w:rPr>
  </w:style>
  <w:style w:type="character" w:styleId="PlaceholderText">
    <w:name w:val="Placeholder Text"/>
    <w:basedOn w:val="DefaultParagraphFont"/>
    <w:uiPriority w:val="99"/>
    <w:semiHidden/>
    <w:rsid w:val="00834296"/>
    <w:rPr>
      <w:color w:val="808080"/>
    </w:rPr>
  </w:style>
  <w:style w:type="paragraph" w:styleId="BodyText">
    <w:name w:val="Body Text"/>
    <w:basedOn w:val="Normal"/>
    <w:link w:val="BodyTextChar"/>
    <w:qFormat/>
    <w:rsid w:val="00834296"/>
    <w:pPr>
      <w:spacing w:before="120" w:after="120" w:line="264" w:lineRule="auto"/>
    </w:pPr>
  </w:style>
  <w:style w:type="character" w:customStyle="1" w:styleId="BodyTextChar">
    <w:name w:val="Body Text Char"/>
    <w:basedOn w:val="DefaultParagraphFont"/>
    <w:link w:val="BodyText"/>
    <w:rsid w:val="00834296"/>
  </w:style>
  <w:style w:type="paragraph" w:customStyle="1" w:styleId="FigureStyle">
    <w:name w:val="Figure Style"/>
    <w:basedOn w:val="Normal"/>
    <w:next w:val="BodyText"/>
    <w:uiPriority w:val="6"/>
    <w:qFormat/>
    <w:rsid w:val="002524B7"/>
    <w:pPr>
      <w:keepNext/>
      <w:spacing w:before="240" w:after="120"/>
      <w:jc w:val="center"/>
    </w:pPr>
  </w:style>
  <w:style w:type="paragraph" w:styleId="ListBullet0">
    <w:name w:val="List Bullet"/>
    <w:basedOn w:val="BodyText"/>
    <w:uiPriority w:val="2"/>
    <w:qFormat/>
    <w:rsid w:val="00DA6AC1"/>
    <w:pPr>
      <w:numPr>
        <w:numId w:val="11"/>
      </w:numPr>
      <w:spacing w:before="60" w:after="60"/>
    </w:pPr>
  </w:style>
  <w:style w:type="numbering" w:customStyle="1" w:styleId="ListBullet">
    <w:name w:val="List_Bullet"/>
    <w:uiPriority w:val="99"/>
    <w:rsid w:val="001E544B"/>
    <w:pPr>
      <w:numPr>
        <w:numId w:val="1"/>
      </w:numPr>
    </w:pPr>
  </w:style>
  <w:style w:type="paragraph" w:customStyle="1" w:styleId="ListBullet6">
    <w:name w:val="List Bullet 6"/>
    <w:basedOn w:val="ListBullet0"/>
    <w:uiPriority w:val="19"/>
    <w:rsid w:val="006C0E44"/>
    <w:pPr>
      <w:numPr>
        <w:ilvl w:val="5"/>
      </w:numPr>
    </w:pPr>
  </w:style>
  <w:style w:type="paragraph" w:styleId="ListBullet2">
    <w:name w:val="List Bullet 2"/>
    <w:basedOn w:val="ListBullet0"/>
    <w:uiPriority w:val="19"/>
    <w:rsid w:val="006C0E44"/>
    <w:pPr>
      <w:numPr>
        <w:ilvl w:val="1"/>
      </w:numPr>
    </w:pPr>
  </w:style>
  <w:style w:type="paragraph" w:styleId="ListBullet3">
    <w:name w:val="List Bullet 3"/>
    <w:basedOn w:val="ListBullet0"/>
    <w:uiPriority w:val="19"/>
    <w:rsid w:val="006C0E44"/>
    <w:pPr>
      <w:numPr>
        <w:ilvl w:val="2"/>
      </w:numPr>
      <w:tabs>
        <w:tab w:val="clear" w:pos="1275"/>
        <w:tab w:val="num" w:pos="360"/>
      </w:tabs>
      <w:ind w:left="425"/>
    </w:pPr>
  </w:style>
  <w:style w:type="paragraph" w:styleId="ListBullet4">
    <w:name w:val="List Bullet 4"/>
    <w:basedOn w:val="ListBullet0"/>
    <w:uiPriority w:val="19"/>
    <w:rsid w:val="006C0E44"/>
    <w:pPr>
      <w:numPr>
        <w:ilvl w:val="3"/>
      </w:numPr>
    </w:pPr>
  </w:style>
  <w:style w:type="paragraph" w:styleId="ListBullet5">
    <w:name w:val="List Bullet 5"/>
    <w:basedOn w:val="ListBullet0"/>
    <w:uiPriority w:val="19"/>
    <w:rsid w:val="006C0E44"/>
    <w:pPr>
      <w:numPr>
        <w:ilvl w:val="4"/>
      </w:numPr>
      <w:tabs>
        <w:tab w:val="clear" w:pos="2125"/>
        <w:tab w:val="num" w:pos="360"/>
      </w:tabs>
      <w:ind w:left="425"/>
    </w:pPr>
  </w:style>
  <w:style w:type="paragraph" w:styleId="ListNumber0">
    <w:name w:val="List Number"/>
    <w:basedOn w:val="BodyText"/>
    <w:uiPriority w:val="2"/>
    <w:qFormat/>
    <w:rsid w:val="00DA6AC1"/>
    <w:pPr>
      <w:numPr>
        <w:numId w:val="13"/>
      </w:numPr>
      <w:spacing w:before="60" w:after="60"/>
    </w:pPr>
  </w:style>
  <w:style w:type="paragraph" w:customStyle="1" w:styleId="ListNumber6">
    <w:name w:val="List Number 6"/>
    <w:basedOn w:val="ListNumber0"/>
    <w:uiPriority w:val="19"/>
    <w:rsid w:val="00834296"/>
    <w:pPr>
      <w:numPr>
        <w:ilvl w:val="5"/>
      </w:numPr>
    </w:pPr>
  </w:style>
  <w:style w:type="paragraph" w:customStyle="1" w:styleId="ListParagraph6">
    <w:name w:val="List Paragraph 6"/>
    <w:basedOn w:val="ListParagraph0"/>
    <w:uiPriority w:val="19"/>
    <w:rsid w:val="005E7363"/>
    <w:pPr>
      <w:numPr>
        <w:ilvl w:val="5"/>
      </w:numPr>
    </w:pPr>
  </w:style>
  <w:style w:type="paragraph" w:styleId="ListNumber2">
    <w:name w:val="List Number 2"/>
    <w:basedOn w:val="ListNumber0"/>
    <w:uiPriority w:val="19"/>
    <w:rsid w:val="00834296"/>
    <w:pPr>
      <w:numPr>
        <w:ilvl w:val="1"/>
      </w:numPr>
    </w:pPr>
  </w:style>
  <w:style w:type="paragraph" w:styleId="ListNumber3">
    <w:name w:val="List Number 3"/>
    <w:basedOn w:val="ListNumber0"/>
    <w:uiPriority w:val="19"/>
    <w:rsid w:val="00834296"/>
    <w:pPr>
      <w:numPr>
        <w:ilvl w:val="2"/>
      </w:numPr>
    </w:pPr>
  </w:style>
  <w:style w:type="paragraph" w:styleId="ListNumber4">
    <w:name w:val="List Number 4"/>
    <w:basedOn w:val="ListNumber0"/>
    <w:uiPriority w:val="19"/>
    <w:rsid w:val="00834296"/>
    <w:pPr>
      <w:numPr>
        <w:ilvl w:val="3"/>
      </w:numPr>
    </w:pPr>
  </w:style>
  <w:style w:type="paragraph" w:styleId="ListNumber5">
    <w:name w:val="List Number 5"/>
    <w:basedOn w:val="ListNumber0"/>
    <w:uiPriority w:val="19"/>
    <w:rsid w:val="00834296"/>
    <w:pPr>
      <w:numPr>
        <w:ilvl w:val="4"/>
      </w:numPr>
    </w:pPr>
  </w:style>
  <w:style w:type="numbering" w:customStyle="1" w:styleId="ListNumber">
    <w:name w:val="List_Number"/>
    <w:uiPriority w:val="99"/>
    <w:rsid w:val="00834296"/>
    <w:pPr>
      <w:numPr>
        <w:numId w:val="2"/>
      </w:numPr>
    </w:pPr>
  </w:style>
  <w:style w:type="numbering" w:customStyle="1" w:styleId="ListParagraph">
    <w:name w:val="List_Paragraph"/>
    <w:uiPriority w:val="99"/>
    <w:rsid w:val="005E7363"/>
    <w:pPr>
      <w:numPr>
        <w:numId w:val="3"/>
      </w:numPr>
    </w:pPr>
  </w:style>
  <w:style w:type="paragraph" w:customStyle="1" w:styleId="ListAlpha0">
    <w:name w:val="List Alpha"/>
    <w:basedOn w:val="BodyText"/>
    <w:uiPriority w:val="2"/>
    <w:qFormat/>
    <w:rsid w:val="00DA6AC1"/>
    <w:pPr>
      <w:numPr>
        <w:numId w:val="12"/>
      </w:numPr>
      <w:spacing w:before="60" w:after="60"/>
    </w:pPr>
  </w:style>
  <w:style w:type="paragraph" w:customStyle="1" w:styleId="ListAlpha2">
    <w:name w:val="List Alpha 2"/>
    <w:basedOn w:val="ListAlpha0"/>
    <w:uiPriority w:val="19"/>
    <w:rsid w:val="007C38B8"/>
    <w:pPr>
      <w:numPr>
        <w:ilvl w:val="1"/>
      </w:numPr>
    </w:pPr>
  </w:style>
  <w:style w:type="paragraph" w:customStyle="1" w:styleId="ListAlpha3">
    <w:name w:val="List Alpha 3"/>
    <w:basedOn w:val="ListAlpha0"/>
    <w:uiPriority w:val="19"/>
    <w:rsid w:val="007C38B8"/>
    <w:pPr>
      <w:numPr>
        <w:ilvl w:val="2"/>
      </w:numPr>
    </w:pPr>
  </w:style>
  <w:style w:type="paragraph" w:customStyle="1" w:styleId="ListAlpha4">
    <w:name w:val="List Alpha 4"/>
    <w:basedOn w:val="ListAlpha0"/>
    <w:uiPriority w:val="19"/>
    <w:rsid w:val="007C38B8"/>
    <w:pPr>
      <w:numPr>
        <w:ilvl w:val="3"/>
      </w:numPr>
    </w:pPr>
  </w:style>
  <w:style w:type="paragraph" w:customStyle="1" w:styleId="ListAlpha5">
    <w:name w:val="List Alpha 5"/>
    <w:basedOn w:val="ListAlpha0"/>
    <w:uiPriority w:val="19"/>
    <w:rsid w:val="007C38B8"/>
    <w:pPr>
      <w:numPr>
        <w:ilvl w:val="4"/>
      </w:numPr>
    </w:pPr>
  </w:style>
  <w:style w:type="paragraph" w:customStyle="1" w:styleId="ListAlpha6">
    <w:name w:val="List Alpha 6"/>
    <w:basedOn w:val="ListAlpha0"/>
    <w:uiPriority w:val="19"/>
    <w:rsid w:val="007C38B8"/>
    <w:pPr>
      <w:numPr>
        <w:ilvl w:val="5"/>
      </w:numPr>
    </w:pPr>
  </w:style>
  <w:style w:type="numbering" w:customStyle="1" w:styleId="ListAlpha">
    <w:name w:val="List_Alpha"/>
    <w:uiPriority w:val="99"/>
    <w:rsid w:val="007C38B8"/>
    <w:pPr>
      <w:numPr>
        <w:numId w:val="4"/>
      </w:numPr>
    </w:pPr>
  </w:style>
  <w:style w:type="numbering" w:customStyle="1" w:styleId="ListNbrHeading">
    <w:name w:val="List_NbrHeading"/>
    <w:uiPriority w:val="99"/>
    <w:rsid w:val="005E7363"/>
    <w:pPr>
      <w:numPr>
        <w:numId w:val="6"/>
      </w:numPr>
    </w:pPr>
  </w:style>
  <w:style w:type="paragraph" w:styleId="Title">
    <w:name w:val="Title"/>
    <w:basedOn w:val="Normal"/>
    <w:next w:val="BodyText"/>
    <w:link w:val="TitleChar"/>
    <w:uiPriority w:val="10"/>
    <w:rsid w:val="00D16D0A"/>
    <w:pPr>
      <w:spacing w:before="240" w:after="240"/>
    </w:pPr>
    <w:rPr>
      <w:rFonts w:asciiTheme="majorHAnsi" w:eastAsiaTheme="majorEastAsia" w:hAnsiTheme="majorHAnsi" w:cstheme="majorBidi"/>
      <w:b/>
      <w:color w:val="192E58" w:themeColor="accent1"/>
      <w:kern w:val="28"/>
      <w:sz w:val="64"/>
      <w:szCs w:val="56"/>
    </w:rPr>
  </w:style>
  <w:style w:type="character" w:customStyle="1" w:styleId="TitleChar">
    <w:name w:val="Title Char"/>
    <w:basedOn w:val="DefaultParagraphFont"/>
    <w:link w:val="Title"/>
    <w:uiPriority w:val="10"/>
    <w:rsid w:val="00D16D0A"/>
    <w:rPr>
      <w:rFonts w:asciiTheme="majorHAnsi" w:eastAsiaTheme="majorEastAsia" w:hAnsiTheme="majorHAnsi" w:cstheme="majorBidi"/>
      <w:b/>
      <w:color w:val="192E58" w:themeColor="accent1"/>
      <w:kern w:val="28"/>
      <w:sz w:val="64"/>
      <w:szCs w:val="56"/>
    </w:rPr>
  </w:style>
  <w:style w:type="paragraph" w:styleId="Subtitle">
    <w:name w:val="Subtitle"/>
    <w:basedOn w:val="Normal"/>
    <w:next w:val="BodyText"/>
    <w:link w:val="SubtitleChar"/>
    <w:uiPriority w:val="11"/>
    <w:rsid w:val="00D16D0A"/>
    <w:pPr>
      <w:numPr>
        <w:ilvl w:val="1"/>
      </w:numPr>
      <w:spacing w:before="240" w:after="240"/>
    </w:pPr>
    <w:rPr>
      <w:rFonts w:eastAsiaTheme="minorEastAsia"/>
      <w:color w:val="192E58" w:themeColor="accent1"/>
      <w:sz w:val="36"/>
    </w:rPr>
  </w:style>
  <w:style w:type="character" w:customStyle="1" w:styleId="SubtitleChar">
    <w:name w:val="Subtitle Char"/>
    <w:basedOn w:val="DefaultParagraphFont"/>
    <w:link w:val="Subtitle"/>
    <w:uiPriority w:val="11"/>
    <w:rsid w:val="00D16D0A"/>
    <w:rPr>
      <w:rFonts w:eastAsiaTheme="minorEastAsia"/>
      <w:color w:val="192E58" w:themeColor="accent1"/>
      <w:sz w:val="36"/>
    </w:rPr>
  </w:style>
  <w:style w:type="paragraph" w:styleId="TOCHeading">
    <w:name w:val="TOC Heading"/>
    <w:basedOn w:val="Heading1"/>
    <w:next w:val="Normal"/>
    <w:uiPriority w:val="39"/>
    <w:semiHidden/>
    <w:rsid w:val="00B742E4"/>
    <w:pPr>
      <w:spacing w:before="480"/>
      <w:outlineLvl w:val="9"/>
    </w:pPr>
  </w:style>
  <w:style w:type="paragraph" w:styleId="TOC4">
    <w:name w:val="toc 4"/>
    <w:basedOn w:val="TOC1"/>
    <w:next w:val="Normal"/>
    <w:uiPriority w:val="39"/>
    <w:semiHidden/>
    <w:rsid w:val="00B742E4"/>
    <w:pPr>
      <w:tabs>
        <w:tab w:val="left" w:pos="851"/>
      </w:tabs>
      <w:spacing w:after="100"/>
    </w:pPr>
  </w:style>
  <w:style w:type="paragraph" w:styleId="TOC5">
    <w:name w:val="toc 5"/>
    <w:basedOn w:val="TOC2"/>
    <w:next w:val="Normal"/>
    <w:uiPriority w:val="39"/>
    <w:semiHidden/>
    <w:rsid w:val="00B742E4"/>
    <w:pPr>
      <w:tabs>
        <w:tab w:val="left" w:pos="851"/>
      </w:tabs>
      <w:spacing w:after="100"/>
    </w:pPr>
  </w:style>
  <w:style w:type="paragraph" w:styleId="TOC1">
    <w:name w:val="toc 1"/>
    <w:basedOn w:val="Normal"/>
    <w:next w:val="Normal"/>
    <w:uiPriority w:val="39"/>
    <w:semiHidden/>
    <w:rsid w:val="00B742E4"/>
    <w:pPr>
      <w:tabs>
        <w:tab w:val="right" w:leader="dot" w:pos="9639"/>
      </w:tabs>
      <w:spacing w:before="120" w:after="60"/>
    </w:pPr>
    <w:rPr>
      <w:b/>
    </w:rPr>
  </w:style>
  <w:style w:type="paragraph" w:styleId="TOC6">
    <w:name w:val="toc 6"/>
    <w:basedOn w:val="TOC3"/>
    <w:next w:val="Normal"/>
    <w:uiPriority w:val="39"/>
    <w:semiHidden/>
    <w:rsid w:val="00FC0BC3"/>
    <w:pPr>
      <w:tabs>
        <w:tab w:val="left" w:pos="851"/>
      </w:tabs>
      <w:spacing w:after="100"/>
    </w:pPr>
  </w:style>
  <w:style w:type="paragraph" w:styleId="Quote">
    <w:name w:val="Quote"/>
    <w:basedOn w:val="BodyText"/>
    <w:next w:val="Normal"/>
    <w:link w:val="QuoteChar"/>
    <w:uiPriority w:val="8"/>
    <w:rsid w:val="00AD0164"/>
    <w:pPr>
      <w:pBdr>
        <w:top w:val="single" w:sz="8" w:space="6" w:color="F15A22" w:themeColor="accent2"/>
        <w:bottom w:val="single" w:sz="8" w:space="6" w:color="F15A22" w:themeColor="accent2"/>
      </w:pBdr>
      <w:spacing w:before="240" w:after="240"/>
    </w:pPr>
    <w:rPr>
      <w:iCs/>
      <w:color w:val="F15A22" w:themeColor="accent2"/>
    </w:rPr>
  </w:style>
  <w:style w:type="paragraph" w:styleId="TOC2">
    <w:name w:val="toc 2"/>
    <w:basedOn w:val="Normal"/>
    <w:next w:val="Normal"/>
    <w:uiPriority w:val="39"/>
    <w:semiHidden/>
    <w:rsid w:val="00B742E4"/>
    <w:pPr>
      <w:tabs>
        <w:tab w:val="right" w:leader="dot" w:pos="9639"/>
      </w:tabs>
      <w:spacing w:before="60" w:after="60"/>
    </w:pPr>
  </w:style>
  <w:style w:type="paragraph" w:styleId="TOC3">
    <w:name w:val="toc 3"/>
    <w:basedOn w:val="Normal"/>
    <w:next w:val="Normal"/>
    <w:uiPriority w:val="39"/>
    <w:semiHidden/>
    <w:rsid w:val="00B742E4"/>
    <w:pPr>
      <w:tabs>
        <w:tab w:val="right" w:leader="dot" w:pos="9639"/>
      </w:tabs>
      <w:spacing w:before="20" w:after="20"/>
    </w:pPr>
  </w:style>
  <w:style w:type="character" w:customStyle="1" w:styleId="QuoteChar">
    <w:name w:val="Quote Char"/>
    <w:basedOn w:val="DefaultParagraphFont"/>
    <w:link w:val="Quote"/>
    <w:uiPriority w:val="8"/>
    <w:rsid w:val="00AD0164"/>
    <w:rPr>
      <w:iCs/>
      <w:color w:val="F15A22" w:themeColor="accent2"/>
      <w:sz w:val="20"/>
    </w:rPr>
  </w:style>
  <w:style w:type="paragraph" w:styleId="Footer">
    <w:name w:val="footer"/>
    <w:basedOn w:val="Normal"/>
    <w:link w:val="FooterChar"/>
    <w:uiPriority w:val="99"/>
    <w:rsid w:val="00FB6F2C"/>
    <w:pPr>
      <w:tabs>
        <w:tab w:val="center" w:pos="4513"/>
        <w:tab w:val="right" w:pos="9026"/>
      </w:tabs>
      <w:jc w:val="center"/>
    </w:pPr>
    <w:rPr>
      <w:b/>
      <w:color w:val="192E58" w:themeColor="accent1"/>
      <w:sz w:val="18"/>
    </w:rPr>
  </w:style>
  <w:style w:type="character" w:customStyle="1" w:styleId="FooterChar">
    <w:name w:val="Footer Char"/>
    <w:basedOn w:val="DefaultParagraphFont"/>
    <w:link w:val="Footer"/>
    <w:uiPriority w:val="99"/>
    <w:rsid w:val="00FB6F2C"/>
    <w:rPr>
      <w:b/>
      <w:color w:val="192E58" w:themeColor="accent1"/>
      <w:sz w:val="18"/>
    </w:rPr>
  </w:style>
  <w:style w:type="paragraph" w:styleId="Header">
    <w:name w:val="header"/>
    <w:basedOn w:val="Normal"/>
    <w:link w:val="HeaderChar"/>
    <w:uiPriority w:val="99"/>
    <w:rsid w:val="001403F1"/>
    <w:pPr>
      <w:tabs>
        <w:tab w:val="center" w:pos="4513"/>
        <w:tab w:val="right" w:pos="9026"/>
      </w:tabs>
    </w:pPr>
    <w:rPr>
      <w:color w:val="192E58" w:themeColor="accent1"/>
      <w:sz w:val="16"/>
    </w:rPr>
  </w:style>
  <w:style w:type="character" w:customStyle="1" w:styleId="HeaderChar">
    <w:name w:val="Header Char"/>
    <w:basedOn w:val="DefaultParagraphFont"/>
    <w:link w:val="Header"/>
    <w:uiPriority w:val="99"/>
    <w:rsid w:val="001403F1"/>
    <w:rPr>
      <w:color w:val="192E58" w:themeColor="accent1"/>
      <w:sz w:val="16"/>
    </w:rPr>
  </w:style>
  <w:style w:type="table" w:styleId="TableGrid">
    <w:name w:val="Table Grid"/>
    <w:aliases w:val="Table No Border"/>
    <w:basedOn w:val="TableNormal"/>
    <w:uiPriority w:val="39"/>
    <w:rsid w:val="00A34437"/>
    <w:pPr>
      <w:spacing w:after="0" w:line="240" w:lineRule="auto"/>
    </w:pPr>
    <w:tblPr>
      <w:tblCellMar>
        <w:left w:w="0" w:type="dxa"/>
        <w:right w:w="0" w:type="dxa"/>
      </w:tblCellMar>
    </w:tblPr>
  </w:style>
  <w:style w:type="table" w:customStyle="1" w:styleId="LinedTable">
    <w:name w:val="Lined Table"/>
    <w:basedOn w:val="TableNormal"/>
    <w:uiPriority w:val="99"/>
    <w:rsid w:val="0082734D"/>
    <w:pPr>
      <w:spacing w:after="0" w:line="240" w:lineRule="auto"/>
    </w:pPr>
    <w:tblPr>
      <w:tblStyleRowBandSize w:val="1"/>
      <w:tblStyleColBandSize w:val="1"/>
      <w:tblBorders>
        <w:top w:val="single" w:sz="12" w:space="0" w:color="192E58" w:themeColor="accent1"/>
        <w:bottom w:val="single" w:sz="12" w:space="0" w:color="192E58" w:themeColor="accent1"/>
        <w:insideH w:val="single" w:sz="4" w:space="0" w:color="192E58" w:themeColor="accent1"/>
      </w:tblBorders>
      <w:tblCellMar>
        <w:left w:w="0" w:type="dxa"/>
        <w:right w:w="0" w:type="dxa"/>
      </w:tblCellMar>
    </w:tblPr>
    <w:tblStylePr w:type="firstRow">
      <w:rPr>
        <w:color w:val="192E58" w:themeColor="accent1"/>
      </w:rPr>
      <w:tblPr/>
      <w:tcPr>
        <w:tcBorders>
          <w:top w:val="single" w:sz="12" w:space="0" w:color="192E58" w:themeColor="accent1"/>
          <w:left w:val="nil"/>
          <w:bottom w:val="single" w:sz="12" w:space="0" w:color="192E58" w:themeColor="accent1"/>
          <w:right w:val="nil"/>
          <w:insideH w:val="nil"/>
          <w:insideV w:val="nil"/>
          <w:tl2br w:val="nil"/>
          <w:tr2bl w:val="nil"/>
        </w:tcBorders>
      </w:tcPr>
    </w:tblStylePr>
    <w:tblStylePr w:type="lastRow">
      <w:tblPr/>
      <w:tcPr>
        <w:shd w:val="clear" w:color="auto" w:fill="F2F2F2" w:themeFill="background1" w:themeFillShade="F2"/>
      </w:tcPr>
    </w:tblStylePr>
    <w:tblStylePr w:type="firstCol">
      <w:rPr>
        <w:color w:val="192E58" w:themeColor="accent1"/>
      </w:rPr>
    </w:tblStylePr>
    <w:tblStylePr w:type="lastCol">
      <w:tblPr/>
      <w:tcPr>
        <w:shd w:val="clear" w:color="auto" w:fill="F2F2F2" w:themeFill="background1" w:themeFillShade="F2"/>
      </w:tcPr>
    </w:tblStylePr>
    <w:tblStylePr w:type="band2Vert">
      <w:tblPr/>
      <w:tcPr>
        <w:shd w:val="clear" w:color="auto" w:fill="F2F2F2" w:themeFill="background1" w:themeFillShade="F2"/>
      </w:tcPr>
    </w:tblStylePr>
    <w:tblStylePr w:type="band2Horz">
      <w:tblPr/>
      <w:tcPr>
        <w:shd w:val="clear" w:color="auto" w:fill="F2F2F2" w:themeFill="background1" w:themeFillShade="F2"/>
      </w:tcPr>
    </w:tblStylePr>
  </w:style>
  <w:style w:type="paragraph" w:customStyle="1" w:styleId="TableText">
    <w:name w:val="Table Text"/>
    <w:basedOn w:val="Normal"/>
    <w:uiPriority w:val="3"/>
    <w:qFormat/>
    <w:rsid w:val="00B025B0"/>
    <w:pPr>
      <w:spacing w:before="60" w:after="60"/>
      <w:ind w:left="113" w:right="113"/>
    </w:pPr>
  </w:style>
  <w:style w:type="paragraph" w:customStyle="1" w:styleId="TableHeading">
    <w:name w:val="Table Heading"/>
    <w:basedOn w:val="TableText"/>
    <w:uiPriority w:val="3"/>
    <w:qFormat/>
    <w:rsid w:val="00560AB3"/>
    <w:rPr>
      <w:b/>
      <w:color w:val="192E58" w:themeColor="accent1"/>
    </w:rPr>
  </w:style>
  <w:style w:type="paragraph" w:customStyle="1" w:styleId="TableBullet">
    <w:name w:val="Table Bullet"/>
    <w:basedOn w:val="TableText"/>
    <w:uiPriority w:val="4"/>
    <w:qFormat/>
    <w:rsid w:val="00B025B0"/>
    <w:pPr>
      <w:numPr>
        <w:numId w:val="14"/>
      </w:numPr>
    </w:pPr>
  </w:style>
  <w:style w:type="paragraph" w:customStyle="1" w:styleId="TableBullet2">
    <w:name w:val="Table Bullet 2"/>
    <w:basedOn w:val="TableBullet"/>
    <w:uiPriority w:val="19"/>
    <w:rsid w:val="00B025B0"/>
    <w:pPr>
      <w:numPr>
        <w:ilvl w:val="1"/>
      </w:numPr>
    </w:pPr>
  </w:style>
  <w:style w:type="paragraph" w:customStyle="1" w:styleId="TableNumber">
    <w:name w:val="Table Number"/>
    <w:basedOn w:val="TableText"/>
    <w:uiPriority w:val="4"/>
    <w:qFormat/>
    <w:rsid w:val="00B025B0"/>
    <w:pPr>
      <w:numPr>
        <w:numId w:val="15"/>
      </w:numPr>
    </w:pPr>
  </w:style>
  <w:style w:type="paragraph" w:customStyle="1" w:styleId="TableNumber2">
    <w:name w:val="Table Number 2"/>
    <w:basedOn w:val="TableNumber"/>
    <w:uiPriority w:val="19"/>
    <w:rsid w:val="00B025B0"/>
    <w:pPr>
      <w:numPr>
        <w:ilvl w:val="1"/>
      </w:numPr>
    </w:pPr>
  </w:style>
  <w:style w:type="numbering" w:customStyle="1" w:styleId="ListTableBullet">
    <w:name w:val="List_TableBullet"/>
    <w:uiPriority w:val="99"/>
    <w:rsid w:val="00B025B0"/>
    <w:pPr>
      <w:numPr>
        <w:numId w:val="7"/>
      </w:numPr>
    </w:pPr>
  </w:style>
  <w:style w:type="numbering" w:customStyle="1" w:styleId="ListTableNumber">
    <w:name w:val="List_TableNumber"/>
    <w:uiPriority w:val="99"/>
    <w:rsid w:val="00B025B0"/>
    <w:pPr>
      <w:numPr>
        <w:numId w:val="8"/>
      </w:numPr>
    </w:pPr>
  </w:style>
  <w:style w:type="paragraph" w:customStyle="1" w:styleId="CoverDetails">
    <w:name w:val="Cover Details"/>
    <w:basedOn w:val="Normal"/>
    <w:next w:val="BodyText"/>
    <w:uiPriority w:val="12"/>
    <w:semiHidden/>
    <w:rsid w:val="00E87A8D"/>
    <w:pPr>
      <w:spacing w:before="240" w:after="240" w:line="264" w:lineRule="auto"/>
    </w:pPr>
    <w:rPr>
      <w:b/>
      <w:sz w:val="24"/>
    </w:rPr>
  </w:style>
  <w:style w:type="paragraph" w:customStyle="1" w:styleId="AppendixH1">
    <w:name w:val="Appendix H1"/>
    <w:basedOn w:val="Heading1"/>
    <w:next w:val="BodyText"/>
    <w:uiPriority w:val="14"/>
    <w:semiHidden/>
    <w:qFormat/>
    <w:rsid w:val="00862690"/>
    <w:pPr>
      <w:pageBreakBefore/>
      <w:numPr>
        <w:numId w:val="9"/>
      </w:numPr>
    </w:pPr>
  </w:style>
  <w:style w:type="paragraph" w:customStyle="1" w:styleId="AppendixH2">
    <w:name w:val="Appendix H2"/>
    <w:basedOn w:val="Heading2"/>
    <w:next w:val="BodyText"/>
    <w:uiPriority w:val="14"/>
    <w:semiHidden/>
    <w:qFormat/>
    <w:rsid w:val="00E87A8D"/>
    <w:pPr>
      <w:numPr>
        <w:ilvl w:val="1"/>
        <w:numId w:val="9"/>
      </w:numPr>
    </w:pPr>
  </w:style>
  <w:style w:type="paragraph" w:customStyle="1" w:styleId="AppendixH3">
    <w:name w:val="Appendix H3"/>
    <w:basedOn w:val="Heading3"/>
    <w:next w:val="BodyText"/>
    <w:uiPriority w:val="14"/>
    <w:semiHidden/>
    <w:qFormat/>
    <w:rsid w:val="00E87A8D"/>
    <w:pPr>
      <w:numPr>
        <w:ilvl w:val="2"/>
        <w:numId w:val="9"/>
      </w:numPr>
    </w:pPr>
  </w:style>
  <w:style w:type="numbering" w:customStyle="1" w:styleId="ListAppendix">
    <w:name w:val="List_Appendix"/>
    <w:uiPriority w:val="99"/>
    <w:rsid w:val="00E87A8D"/>
    <w:pPr>
      <w:numPr>
        <w:numId w:val="9"/>
      </w:numPr>
    </w:pPr>
  </w:style>
  <w:style w:type="paragraph" w:styleId="TOC8">
    <w:name w:val="toc 8"/>
    <w:basedOn w:val="TOC2"/>
    <w:next w:val="Normal"/>
    <w:uiPriority w:val="39"/>
    <w:semiHidden/>
    <w:rsid w:val="00B742E4"/>
    <w:pPr>
      <w:tabs>
        <w:tab w:val="left" w:pos="1701"/>
      </w:tabs>
    </w:pPr>
  </w:style>
  <w:style w:type="paragraph" w:styleId="TableofFigures">
    <w:name w:val="table of figures"/>
    <w:basedOn w:val="Normal"/>
    <w:next w:val="Normal"/>
    <w:uiPriority w:val="99"/>
    <w:unhideWhenUsed/>
    <w:rsid w:val="00B742E4"/>
    <w:pPr>
      <w:tabs>
        <w:tab w:val="left" w:pos="1134"/>
        <w:tab w:val="right" w:leader="dot" w:pos="9628"/>
      </w:tabs>
      <w:spacing w:before="60" w:after="60"/>
      <w:ind w:left="1134" w:hanging="1134"/>
    </w:pPr>
  </w:style>
  <w:style w:type="character" w:styleId="Hyperlink">
    <w:name w:val="Hyperlink"/>
    <w:basedOn w:val="DefaultParagraphFont"/>
    <w:uiPriority w:val="15"/>
    <w:rsid w:val="00B742E4"/>
    <w:rPr>
      <w:color w:val="192E58" w:themeColor="hyperlink"/>
      <w:u w:val="single"/>
    </w:rPr>
  </w:style>
  <w:style w:type="numbering" w:customStyle="1" w:styleId="ListNumberedHeadings">
    <w:name w:val="List_NumberedHeadings"/>
    <w:uiPriority w:val="99"/>
    <w:rsid w:val="006C0E44"/>
    <w:pPr>
      <w:numPr>
        <w:numId w:val="10"/>
      </w:numPr>
    </w:pPr>
  </w:style>
  <w:style w:type="character" w:customStyle="1" w:styleId="UnresolvedMention1">
    <w:name w:val="Unresolved Mention1"/>
    <w:basedOn w:val="DefaultParagraphFont"/>
    <w:uiPriority w:val="99"/>
    <w:semiHidden/>
    <w:unhideWhenUsed/>
    <w:rsid w:val="00AF320E"/>
    <w:rPr>
      <w:color w:val="808080"/>
      <w:shd w:val="clear" w:color="auto" w:fill="E6E6E6"/>
    </w:rPr>
  </w:style>
  <w:style w:type="paragraph" w:styleId="Date">
    <w:name w:val="Date"/>
    <w:basedOn w:val="Normal"/>
    <w:next w:val="Normal"/>
    <w:link w:val="DateChar"/>
    <w:uiPriority w:val="9"/>
    <w:semiHidden/>
    <w:rsid w:val="00DA6AC1"/>
    <w:pPr>
      <w:spacing w:after="240"/>
    </w:pPr>
    <w:rPr>
      <w:i/>
      <w:sz w:val="19"/>
      <w:szCs w:val="19"/>
    </w:rPr>
  </w:style>
  <w:style w:type="character" w:customStyle="1" w:styleId="DateChar">
    <w:name w:val="Date Char"/>
    <w:basedOn w:val="DefaultParagraphFont"/>
    <w:link w:val="Date"/>
    <w:uiPriority w:val="9"/>
    <w:semiHidden/>
    <w:rsid w:val="00611E1B"/>
    <w:rPr>
      <w:i/>
      <w:sz w:val="19"/>
      <w:szCs w:val="19"/>
    </w:rPr>
  </w:style>
  <w:style w:type="character" w:styleId="FollowedHyperlink">
    <w:name w:val="FollowedHyperlink"/>
    <w:basedOn w:val="DefaultParagraphFont"/>
    <w:uiPriority w:val="15"/>
    <w:rsid w:val="00AA0F1C"/>
    <w:rPr>
      <w:color w:val="192E58" w:themeColor="followedHyperlink"/>
      <w:u w:val="single"/>
    </w:rPr>
  </w:style>
  <w:style w:type="paragraph" w:customStyle="1" w:styleId="IntroParagraph">
    <w:name w:val="Intro Paragraph"/>
    <w:basedOn w:val="Normal"/>
    <w:uiPriority w:val="2"/>
    <w:qFormat/>
    <w:rsid w:val="002930CE"/>
    <w:pPr>
      <w:spacing w:before="240" w:after="240" w:line="264" w:lineRule="auto"/>
    </w:pPr>
    <w:rPr>
      <w:color w:val="192E58" w:themeColor="accent1"/>
      <w:sz w:val="22"/>
    </w:rPr>
  </w:style>
  <w:style w:type="paragraph" w:customStyle="1" w:styleId="DividerTitle">
    <w:name w:val="Divider Title"/>
    <w:basedOn w:val="Normal"/>
    <w:next w:val="BodyText"/>
    <w:uiPriority w:val="9"/>
    <w:rsid w:val="008771F3"/>
    <w:rPr>
      <w:color w:val="FFFFFF" w:themeColor="background1"/>
      <w:sz w:val="80"/>
      <w:lang w:val="en-US"/>
    </w:rPr>
  </w:style>
  <w:style w:type="paragraph" w:customStyle="1" w:styleId="NoteText">
    <w:name w:val="Note Text"/>
    <w:basedOn w:val="Normal"/>
    <w:uiPriority w:val="5"/>
    <w:qFormat/>
    <w:rsid w:val="000E0269"/>
    <w:rPr>
      <w:b/>
      <w:color w:val="473192" w:themeColor="text2"/>
    </w:rPr>
  </w:style>
  <w:style w:type="table" w:customStyle="1" w:styleId="GridTable">
    <w:name w:val="Grid Table"/>
    <w:basedOn w:val="TableNormal"/>
    <w:uiPriority w:val="99"/>
    <w:rsid w:val="00513C30"/>
    <w:pPr>
      <w:spacing w:after="0" w:line="240" w:lineRule="auto"/>
    </w:pPr>
    <w:tblPr>
      <w:tblStyleRowBandSize w:val="1"/>
      <w:tblStyleColBandSize w:val="1"/>
      <w:tblBorders>
        <w:top w:val="single" w:sz="4" w:space="0" w:color="192E58" w:themeColor="accent1"/>
        <w:left w:val="single" w:sz="4" w:space="0" w:color="192E58" w:themeColor="accent1"/>
        <w:bottom w:val="single" w:sz="4" w:space="0" w:color="192E58" w:themeColor="accent1"/>
        <w:right w:val="single" w:sz="4" w:space="0" w:color="192E58" w:themeColor="accent1"/>
        <w:insideH w:val="single" w:sz="4" w:space="0" w:color="192E58" w:themeColor="accent1"/>
        <w:insideV w:val="single" w:sz="4" w:space="0" w:color="192E58" w:themeColor="accent1"/>
      </w:tblBorders>
      <w:tblCellMar>
        <w:left w:w="0" w:type="dxa"/>
        <w:right w:w="0" w:type="dxa"/>
      </w:tblCellMar>
    </w:tblPr>
    <w:tblStylePr w:type="firstRow">
      <w:rPr>
        <w:color w:val="FFFFFF" w:themeColor="background1"/>
      </w:rPr>
      <w:tblPr/>
      <w:tcPr>
        <w:tcBorders>
          <w:insideV w:val="single" w:sz="4" w:space="0" w:color="FFFFFF" w:themeColor="background1"/>
        </w:tcBorders>
        <w:shd w:val="clear" w:color="auto" w:fill="192E58" w:themeFill="accent1"/>
      </w:tcPr>
    </w:tblStylePr>
    <w:tblStylePr w:type="lastRow">
      <w:tblPr/>
      <w:tcPr>
        <w:shd w:val="clear" w:color="auto" w:fill="F2F2F2" w:themeFill="background1" w:themeFillShade="F2"/>
      </w:tcPr>
    </w:tblStylePr>
    <w:tblStylePr w:type="firstCol">
      <w:rPr>
        <w:color w:val="FFFFFF" w:themeColor="background1"/>
      </w:rPr>
      <w:tblPr/>
      <w:tcPr>
        <w:tcBorders>
          <w:insideH w:val="single" w:sz="4" w:space="0" w:color="FFFFFF" w:themeColor="background1"/>
        </w:tcBorders>
        <w:shd w:val="clear" w:color="auto" w:fill="192E58" w:themeFill="accent1"/>
      </w:tcPr>
    </w:tblStylePr>
    <w:tblStylePr w:type="lastCol">
      <w:tblPr/>
      <w:tcPr>
        <w:shd w:val="clear" w:color="auto" w:fill="F2F2F2" w:themeFill="background1" w:themeFillShade="F2"/>
      </w:tcPr>
    </w:tblStylePr>
    <w:tblStylePr w:type="band2Vert">
      <w:tblPr/>
      <w:tcPr>
        <w:shd w:val="clear" w:color="auto" w:fill="F2F2F2" w:themeFill="background1" w:themeFillShade="F2"/>
      </w:tcPr>
    </w:tblStylePr>
    <w:tblStylePr w:type="band2Horz">
      <w:tblPr/>
      <w:tcPr>
        <w:shd w:val="clear" w:color="auto" w:fill="F2F2F2" w:themeFill="background1" w:themeFillShade="F2"/>
      </w:tcPr>
    </w:tblStylePr>
  </w:style>
  <w:style w:type="paragraph" w:customStyle="1" w:styleId="TableHeadingWhite">
    <w:name w:val="Table Heading White"/>
    <w:basedOn w:val="TableHeading"/>
    <w:uiPriority w:val="3"/>
    <w:qFormat/>
    <w:rsid w:val="00560AB3"/>
    <w:rPr>
      <w:color w:val="FFFFFF" w:themeColor="background1"/>
    </w:rPr>
  </w:style>
  <w:style w:type="paragraph" w:styleId="FootnoteText">
    <w:name w:val="footnote text"/>
    <w:basedOn w:val="Normal"/>
    <w:link w:val="FootnoteTextChar"/>
    <w:uiPriority w:val="99"/>
    <w:semiHidden/>
    <w:unhideWhenUsed/>
    <w:rsid w:val="001F25BA"/>
    <w:rPr>
      <w:szCs w:val="20"/>
    </w:rPr>
  </w:style>
  <w:style w:type="character" w:customStyle="1" w:styleId="FootnoteTextChar">
    <w:name w:val="Footnote Text Char"/>
    <w:basedOn w:val="DefaultParagraphFont"/>
    <w:link w:val="FootnoteText"/>
    <w:uiPriority w:val="99"/>
    <w:semiHidden/>
    <w:rsid w:val="001F25BA"/>
    <w:rPr>
      <w:sz w:val="20"/>
      <w:szCs w:val="20"/>
    </w:rPr>
  </w:style>
  <w:style w:type="character" w:styleId="FootnoteReference">
    <w:name w:val="footnote reference"/>
    <w:basedOn w:val="DefaultParagraphFont"/>
    <w:uiPriority w:val="99"/>
    <w:semiHidden/>
    <w:unhideWhenUsed/>
    <w:rsid w:val="001F25BA"/>
    <w:rPr>
      <w:vertAlign w:val="superscript"/>
    </w:rPr>
  </w:style>
  <w:style w:type="character" w:styleId="UnresolvedMention">
    <w:name w:val="Unresolved Mention"/>
    <w:basedOn w:val="DefaultParagraphFont"/>
    <w:uiPriority w:val="99"/>
    <w:semiHidden/>
    <w:unhideWhenUsed/>
    <w:rsid w:val="000C0336"/>
    <w:rPr>
      <w:color w:val="605E5C"/>
      <w:shd w:val="clear" w:color="auto" w:fill="E1DFDD"/>
    </w:rPr>
  </w:style>
  <w:style w:type="character" w:styleId="CommentReference">
    <w:name w:val="annotation reference"/>
    <w:basedOn w:val="DefaultParagraphFont"/>
    <w:uiPriority w:val="99"/>
    <w:semiHidden/>
    <w:unhideWhenUsed/>
    <w:rsid w:val="00C36AFB"/>
    <w:rPr>
      <w:sz w:val="16"/>
      <w:szCs w:val="16"/>
    </w:rPr>
  </w:style>
  <w:style w:type="paragraph" w:styleId="CommentText">
    <w:name w:val="annotation text"/>
    <w:basedOn w:val="Normal"/>
    <w:link w:val="CommentTextChar"/>
    <w:uiPriority w:val="99"/>
    <w:semiHidden/>
    <w:unhideWhenUsed/>
    <w:rsid w:val="00C36AFB"/>
    <w:rPr>
      <w:szCs w:val="20"/>
    </w:rPr>
  </w:style>
  <w:style w:type="character" w:customStyle="1" w:styleId="CommentTextChar">
    <w:name w:val="Comment Text Char"/>
    <w:basedOn w:val="DefaultParagraphFont"/>
    <w:link w:val="CommentText"/>
    <w:uiPriority w:val="99"/>
    <w:semiHidden/>
    <w:rsid w:val="00C36AFB"/>
    <w:rPr>
      <w:sz w:val="20"/>
      <w:szCs w:val="20"/>
    </w:rPr>
  </w:style>
  <w:style w:type="paragraph" w:styleId="BalloonText">
    <w:name w:val="Balloon Text"/>
    <w:basedOn w:val="Normal"/>
    <w:link w:val="BalloonTextChar"/>
    <w:uiPriority w:val="99"/>
    <w:semiHidden/>
    <w:unhideWhenUsed/>
    <w:rsid w:val="00C36A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6A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183656">
      <w:bodyDiv w:val="1"/>
      <w:marLeft w:val="0"/>
      <w:marRight w:val="0"/>
      <w:marTop w:val="0"/>
      <w:marBottom w:val="0"/>
      <w:divBdr>
        <w:top w:val="none" w:sz="0" w:space="0" w:color="auto"/>
        <w:left w:val="none" w:sz="0" w:space="0" w:color="auto"/>
        <w:bottom w:val="none" w:sz="0" w:space="0" w:color="auto"/>
        <w:right w:val="none" w:sz="0" w:space="0" w:color="auto"/>
      </w:divBdr>
    </w:div>
    <w:div w:id="1183394046">
      <w:bodyDiv w:val="1"/>
      <w:marLeft w:val="0"/>
      <w:marRight w:val="0"/>
      <w:marTop w:val="0"/>
      <w:marBottom w:val="0"/>
      <w:divBdr>
        <w:top w:val="none" w:sz="0" w:space="0" w:color="auto"/>
        <w:left w:val="none" w:sz="0" w:space="0" w:color="auto"/>
        <w:bottom w:val="none" w:sz="0" w:space="0" w:color="auto"/>
        <w:right w:val="none" w:sz="0" w:space="0" w:color="auto"/>
      </w:divBdr>
    </w:div>
    <w:div w:id="1573389033">
      <w:bodyDiv w:val="1"/>
      <w:marLeft w:val="0"/>
      <w:marRight w:val="0"/>
      <w:marTop w:val="0"/>
      <w:marBottom w:val="0"/>
      <w:divBdr>
        <w:top w:val="none" w:sz="0" w:space="0" w:color="auto"/>
        <w:left w:val="none" w:sz="0" w:space="0" w:color="auto"/>
        <w:bottom w:val="none" w:sz="0" w:space="0" w:color="auto"/>
        <w:right w:val="none" w:sz="0" w:space="0" w:color="auto"/>
      </w:divBdr>
    </w:div>
    <w:div w:id="1889757757">
      <w:bodyDiv w:val="1"/>
      <w:marLeft w:val="0"/>
      <w:marRight w:val="0"/>
      <w:marTop w:val="0"/>
      <w:marBottom w:val="0"/>
      <w:divBdr>
        <w:top w:val="none" w:sz="0" w:space="0" w:color="auto"/>
        <w:left w:val="none" w:sz="0" w:space="0" w:color="auto"/>
        <w:bottom w:val="none" w:sz="0" w:space="0" w:color="auto"/>
        <w:right w:val="none" w:sz="0" w:space="0" w:color="auto"/>
      </w:divBdr>
      <w:divsChild>
        <w:div w:id="1650089125">
          <w:marLeft w:val="0"/>
          <w:marRight w:val="0"/>
          <w:marTop w:val="0"/>
          <w:marBottom w:val="0"/>
          <w:divBdr>
            <w:top w:val="none" w:sz="0" w:space="0" w:color="auto"/>
            <w:left w:val="none" w:sz="0" w:space="0" w:color="auto"/>
            <w:bottom w:val="none" w:sz="0" w:space="0" w:color="auto"/>
            <w:right w:val="none" w:sz="0" w:space="0" w:color="auto"/>
          </w:divBdr>
          <w:divsChild>
            <w:div w:id="1237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45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mailto:spaparo@ermpower.com.a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hell.com.au/business-customers/shell-energy-australia.htm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ermpower.com.a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info@esb.org.au" TargetMode="External"/><Relationship Id="rId14" Type="http://schemas.openxmlformats.org/officeDocument/2006/relationships/footer" Target="footer1.xm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hawker\Downloads\ERMCorporateLetterhea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2EAFF7446B940FBB455C4F49F5C13EC"/>
        <w:category>
          <w:name w:val="General"/>
          <w:gallery w:val="placeholder"/>
        </w:category>
        <w:types>
          <w:type w:val="bbPlcHdr"/>
        </w:types>
        <w:behaviors>
          <w:behavior w:val="content"/>
        </w:behaviors>
        <w:guid w:val="{0C8B0400-24E4-4523-B454-9A8460AC6865}"/>
      </w:docPartPr>
      <w:docPartBody>
        <w:p w:rsidR="00350BA7" w:rsidRDefault="00983F27" w:rsidP="00983F27">
          <w:pPr>
            <w:pStyle w:val="22EAFF7446B940FBB455C4F49F5C13EC"/>
          </w:pPr>
          <w:r w:rsidRPr="004613D1">
            <w:rPr>
              <w:sz w:val="20"/>
              <w:highlight w:val="yellow"/>
            </w:rPr>
            <w:t>[Choose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w:charset w:val="00"/>
    <w:family w:val="auto"/>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otham Light">
    <w:panose1 w:val="00000000000000000000"/>
    <w:charset w:val="00"/>
    <w:family w:val="modern"/>
    <w:notTrueType/>
    <w:pitch w:val="variable"/>
    <w:sig w:usb0="A00000FF" w:usb1="4000004A" w:usb2="00000000" w:usb3="00000000" w:csb0="0000000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689"/>
    <w:rsid w:val="00350BA7"/>
    <w:rsid w:val="004A439A"/>
    <w:rsid w:val="006019FB"/>
    <w:rsid w:val="00983F27"/>
    <w:rsid w:val="00D15061"/>
    <w:rsid w:val="00F7268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AB4145834F4AD1B04B0E5A1DC2A395">
    <w:name w:val="52AB4145834F4AD1B04B0E5A1DC2A395"/>
  </w:style>
  <w:style w:type="paragraph" w:customStyle="1" w:styleId="45C6A7E88E534EA99D6ECE40E325A951">
    <w:name w:val="45C6A7E88E534EA99D6ECE40E325A951"/>
  </w:style>
  <w:style w:type="paragraph" w:customStyle="1" w:styleId="9681D8441E8646EEAB52F9068FC0DF1C">
    <w:name w:val="9681D8441E8646EEAB52F9068FC0DF1C"/>
  </w:style>
  <w:style w:type="paragraph" w:customStyle="1" w:styleId="CD679D8B1D67476AB683A97FC19AC8BB">
    <w:name w:val="CD679D8B1D67476AB683A97FC19AC8BB"/>
  </w:style>
  <w:style w:type="paragraph" w:customStyle="1" w:styleId="D38FED9CAF204AA9B779672ABC739470">
    <w:name w:val="D38FED9CAF204AA9B779672ABC739470"/>
  </w:style>
  <w:style w:type="paragraph" w:customStyle="1" w:styleId="EDBE83807C8647719D23E17EA200BFE1">
    <w:name w:val="EDBE83807C8647719D23E17EA200BFE1"/>
  </w:style>
  <w:style w:type="paragraph" w:customStyle="1" w:styleId="1FCEAB513FD54AF089E4AB7EE120DA5D">
    <w:name w:val="1FCEAB513FD54AF089E4AB7EE120DA5D"/>
  </w:style>
  <w:style w:type="paragraph" w:customStyle="1" w:styleId="E8F4D8D9A61A4352993FD12ACAEBE24A">
    <w:name w:val="E8F4D8D9A61A4352993FD12ACAEBE24A"/>
  </w:style>
  <w:style w:type="paragraph" w:customStyle="1" w:styleId="D5FA2E9CA6A9430CB105B5B40C4E88A0">
    <w:name w:val="D5FA2E9CA6A9430CB105B5B40C4E88A0"/>
  </w:style>
  <w:style w:type="paragraph" w:customStyle="1" w:styleId="22EAFF7446B940FBB455C4F49F5C13EC">
    <w:name w:val="22EAFF7446B940FBB455C4F49F5C13EC"/>
    <w:rsid w:val="00983F27"/>
  </w:style>
  <w:style w:type="paragraph" w:customStyle="1" w:styleId="321ED6D12C6844548E9886E9728456E1">
    <w:name w:val="321ED6D12C6844548E9886E9728456E1"/>
    <w:rsid w:val="00983F27"/>
  </w:style>
  <w:style w:type="paragraph" w:customStyle="1" w:styleId="ED158A4632E34945A4D0C97894706557">
    <w:name w:val="ED158A4632E34945A4D0C97894706557"/>
    <w:rsid w:val="00983F27"/>
  </w:style>
  <w:style w:type="paragraph" w:customStyle="1" w:styleId="6E0E9BC4CD634409BF95D89D3A2E7688">
    <w:name w:val="6E0E9BC4CD634409BF95D89D3A2E7688"/>
    <w:rsid w:val="00983F27"/>
  </w:style>
  <w:style w:type="paragraph" w:customStyle="1" w:styleId="880062976B9F450AA1F4706C149B2F17">
    <w:name w:val="880062976B9F450AA1F4706C149B2F17"/>
    <w:rsid w:val="00983F27"/>
  </w:style>
  <w:style w:type="paragraph" w:customStyle="1" w:styleId="FE21730A0D1040B99DFEAFC6CA950D4C">
    <w:name w:val="FE21730A0D1040B99DFEAFC6CA950D4C"/>
    <w:rsid w:val="00983F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ERM Power">
      <a:dk1>
        <a:sysClr val="windowText" lastClr="000000"/>
      </a:dk1>
      <a:lt1>
        <a:sysClr val="window" lastClr="FFFFFF"/>
      </a:lt1>
      <a:dk2>
        <a:srgbClr val="473192"/>
      </a:dk2>
      <a:lt2>
        <a:srgbClr val="F1F3F4"/>
      </a:lt2>
      <a:accent1>
        <a:srgbClr val="192E58"/>
      </a:accent1>
      <a:accent2>
        <a:srgbClr val="F15A22"/>
      </a:accent2>
      <a:accent3>
        <a:srgbClr val="00B3DD"/>
      </a:accent3>
      <a:accent4>
        <a:srgbClr val="D61D59"/>
      </a:accent4>
      <a:accent5>
        <a:srgbClr val="9ACA3C"/>
      </a:accent5>
      <a:accent6>
        <a:srgbClr val="FFD200"/>
      </a:accent6>
      <a:hlink>
        <a:srgbClr val="192E58"/>
      </a:hlink>
      <a:folHlink>
        <a:srgbClr val="192E58"/>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2020-07-28T00:00:00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9185670-74E4-4149-A915-6211ABDA81E8}">
  <ds:schemaRefs>
    <ds:schemaRef ds:uri="http://schemas.openxmlformats.org/officeDocument/2006/bibliography"/>
  </ds:schemaRefs>
</ds:datastoreItem>
</file>

<file path=customXml/itemProps3.xml><?xml version="1.0" encoding="utf-8"?>
<ds:datastoreItem xmlns:ds="http://schemas.openxmlformats.org/officeDocument/2006/customXml" ds:itemID="{7D73D3FD-D9BC-4D6F-AD10-32E42A5AB124}"/>
</file>

<file path=customXml/itemProps4.xml><?xml version="1.0" encoding="utf-8"?>
<ds:datastoreItem xmlns:ds="http://schemas.openxmlformats.org/officeDocument/2006/customXml" ds:itemID="{930FA018-9FFC-4040-B1B4-49A709E481EB}"/>
</file>

<file path=customXml/itemProps5.xml><?xml version="1.0" encoding="utf-8"?>
<ds:datastoreItem xmlns:ds="http://schemas.openxmlformats.org/officeDocument/2006/customXml" ds:itemID="{BC6A6359-0152-4EE1-B2C1-0C57DBC5807B}"/>
</file>

<file path=docProps/app.xml><?xml version="1.0" encoding="utf-8"?>
<Properties xmlns="http://schemas.openxmlformats.org/officeDocument/2006/extended-properties" xmlns:vt="http://schemas.openxmlformats.org/officeDocument/2006/docPropsVTypes">
  <Template>ERMCorporateLetterhead.dotx</Template>
  <TotalTime>34</TotalTime>
  <Pages>3</Pages>
  <Words>1323</Words>
  <Characters>7544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Libby Hawker</dc:creator>
  <cp:keywords/>
  <dc:description/>
  <cp:lastModifiedBy>Sarah Paparo</cp:lastModifiedBy>
  <cp:revision>3</cp:revision>
  <dcterms:created xsi:type="dcterms:W3CDTF">2020-07-28T00:39:00Z</dcterms:created>
  <dcterms:modified xsi:type="dcterms:W3CDTF">2020-07-28T00:50:00Z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