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E1D32" w14:textId="10F22B99" w:rsidR="00CB67E3" w:rsidRDefault="00DE3F5F" w:rsidP="00CB67E3">
      <w:pPr>
        <w:jc w:val="right"/>
      </w:pPr>
      <w:r>
        <w:t>2</w:t>
      </w:r>
      <w:r w:rsidR="008C3D75">
        <w:t>8</w:t>
      </w:r>
      <w:r>
        <w:t xml:space="preserve"> July</w:t>
      </w:r>
      <w:r w:rsidR="00CB67E3">
        <w:t xml:space="preserve"> 2020</w:t>
      </w:r>
    </w:p>
    <w:p w14:paraId="1B5C676B" w14:textId="4839AB31" w:rsidR="00CB67E3" w:rsidRDefault="00CB67E3" w:rsidP="00CB67E3">
      <w:pPr>
        <w:spacing w:after="0"/>
      </w:pPr>
    </w:p>
    <w:p w14:paraId="42F82540" w14:textId="3E2D7BBB" w:rsidR="00CB67E3" w:rsidRDefault="00DE3F5F" w:rsidP="00CB67E3">
      <w:pPr>
        <w:spacing w:after="0"/>
      </w:pPr>
      <w:r>
        <w:t>Energy Security Board</w:t>
      </w:r>
    </w:p>
    <w:p w14:paraId="33ECFBC0" w14:textId="77777777" w:rsidR="00DE3F5F" w:rsidRDefault="00DE3F5F" w:rsidP="00CB67E3"/>
    <w:p w14:paraId="24D7D891" w14:textId="77777777" w:rsidR="00DE3F5F" w:rsidRDefault="00DE3F5F" w:rsidP="00CB67E3"/>
    <w:p w14:paraId="5E34D634" w14:textId="2582C54D" w:rsidR="00CB67E3" w:rsidRDefault="00CB67E3" w:rsidP="00CB67E3">
      <w:r>
        <w:t xml:space="preserve">Sent by email to: </w:t>
      </w:r>
      <w:hyperlink r:id="rId5" w:history="1">
        <w:r w:rsidR="00DE3F5F" w:rsidRPr="00E30BE1">
          <w:rPr>
            <w:rStyle w:val="Hyperlink"/>
          </w:rPr>
          <w:t>info@esb.org.au</w:t>
        </w:r>
      </w:hyperlink>
      <w:r w:rsidR="00DE3F5F">
        <w:t xml:space="preserve"> </w:t>
      </w:r>
    </w:p>
    <w:p w14:paraId="33FDECAB" w14:textId="77777777" w:rsidR="000F4A71" w:rsidRDefault="000F4A71" w:rsidP="00CB67E3"/>
    <w:p w14:paraId="064C6D06" w14:textId="4E2435E8" w:rsidR="00CB67E3" w:rsidRDefault="00CB67E3" w:rsidP="00CB67E3">
      <w:r>
        <w:t>To Whom It May Concern,</w:t>
      </w:r>
    </w:p>
    <w:p w14:paraId="3634AA18" w14:textId="6500549F" w:rsidR="00CB67E3" w:rsidRPr="00CB67E3" w:rsidRDefault="00F05F2B" w:rsidP="00CB67E3">
      <w:pPr>
        <w:jc w:val="center"/>
        <w:rPr>
          <w:b/>
          <w:bCs/>
          <w:u w:val="single"/>
        </w:rPr>
      </w:pPr>
      <w:r>
        <w:rPr>
          <w:b/>
          <w:bCs/>
          <w:u w:val="single"/>
        </w:rPr>
        <w:t>ETU Response to ESB Governance of DER Technical Standards Consultation Paper</w:t>
      </w:r>
    </w:p>
    <w:p w14:paraId="0E81F803" w14:textId="78B95139" w:rsidR="008C3D75" w:rsidRDefault="008C3D75" w:rsidP="008C3D75">
      <w:pPr>
        <w:rPr>
          <w:lang w:val="en-US"/>
        </w:rPr>
      </w:pPr>
      <w:r w:rsidRPr="008C3D75">
        <w:rPr>
          <w:lang w:val="en-US"/>
        </w:rPr>
        <w:t xml:space="preserve">The Electrical Trades Union of Australia (ETU) is the Electrical, </w:t>
      </w:r>
      <w:r w:rsidR="009B396E">
        <w:rPr>
          <w:lang w:val="en-US"/>
        </w:rPr>
        <w:t>E</w:t>
      </w:r>
      <w:r w:rsidRPr="008C3D75">
        <w:rPr>
          <w:lang w:val="en-US"/>
        </w:rPr>
        <w:t>nergy and Services Division of the Communications, Electrical, Electronic, Energy, Information, Postal, Plumbing and Allied Services Union of Australia (CEPU). The ETU represents approximately 60,000 electrical and electronic workers around the country and the CEPU</w:t>
      </w:r>
      <w:proofErr w:type="gramStart"/>
      <w:r w:rsidRPr="008C3D75">
        <w:rPr>
          <w:lang w:val="en-US"/>
        </w:rPr>
        <w:t>, as a whole, represents</w:t>
      </w:r>
      <w:proofErr w:type="gramEnd"/>
      <w:r w:rsidRPr="008C3D75">
        <w:rPr>
          <w:lang w:val="en-US"/>
        </w:rPr>
        <w:t xml:space="preserve"> approximately 90,000 workers nationally.</w:t>
      </w:r>
    </w:p>
    <w:p w14:paraId="63D82F65" w14:textId="420B7A39" w:rsidR="00BC4280" w:rsidRDefault="004E2D82" w:rsidP="008C3D75">
      <w:pPr>
        <w:rPr>
          <w:lang w:val="en-US"/>
        </w:rPr>
      </w:pPr>
      <w:r>
        <w:rPr>
          <w:lang w:val="en-US"/>
        </w:rPr>
        <w:t>T</w:t>
      </w:r>
      <w:r w:rsidR="008C3D75">
        <w:rPr>
          <w:lang w:val="en-US"/>
        </w:rPr>
        <w:t xml:space="preserve">he ETU is the Union </w:t>
      </w:r>
      <w:r w:rsidR="009E7575">
        <w:rPr>
          <w:lang w:val="en-US"/>
        </w:rPr>
        <w:t xml:space="preserve">that </w:t>
      </w:r>
      <w:r w:rsidR="008C3D75">
        <w:rPr>
          <w:lang w:val="en-US"/>
        </w:rPr>
        <w:t>represent</w:t>
      </w:r>
      <w:r w:rsidR="009E7575">
        <w:rPr>
          <w:lang w:val="en-US"/>
        </w:rPr>
        <w:t>s over 2</w:t>
      </w:r>
      <w:r w:rsidR="00BC4280">
        <w:rPr>
          <w:lang w:val="en-US"/>
        </w:rPr>
        <w:t>0</w:t>
      </w:r>
      <w:r w:rsidR="009E7575">
        <w:rPr>
          <w:lang w:val="en-US"/>
        </w:rPr>
        <w:t>,000</w:t>
      </w:r>
      <w:r w:rsidR="008C3D75">
        <w:rPr>
          <w:lang w:val="en-US"/>
        </w:rPr>
        <w:t xml:space="preserve"> workers </w:t>
      </w:r>
      <w:r w:rsidR="009E7575">
        <w:rPr>
          <w:lang w:val="en-US"/>
        </w:rPr>
        <w:t xml:space="preserve">engaged </w:t>
      </w:r>
      <w:r>
        <w:rPr>
          <w:lang w:val="en-US"/>
        </w:rPr>
        <w:t xml:space="preserve">in </w:t>
      </w:r>
      <w:r w:rsidR="009E7575">
        <w:rPr>
          <w:lang w:val="en-US"/>
        </w:rPr>
        <w:t>the various electrical power industry sub-sectors including</w:t>
      </w:r>
      <w:r w:rsidR="008C3D75">
        <w:rPr>
          <w:lang w:val="en-US"/>
        </w:rPr>
        <w:t xml:space="preserve"> maintain</w:t>
      </w:r>
      <w:r w:rsidR="009E7575">
        <w:rPr>
          <w:lang w:val="en-US"/>
        </w:rPr>
        <w:t>ing</w:t>
      </w:r>
      <w:r w:rsidR="008C3D75">
        <w:rPr>
          <w:lang w:val="en-US"/>
        </w:rPr>
        <w:t xml:space="preserve"> and operati</w:t>
      </w:r>
      <w:r w:rsidR="009E7575">
        <w:rPr>
          <w:lang w:val="en-US"/>
        </w:rPr>
        <w:t>ng</w:t>
      </w:r>
      <w:r w:rsidR="008C3D75">
        <w:rPr>
          <w:lang w:val="en-US"/>
        </w:rPr>
        <w:t xml:space="preserve"> power stations, construct</w:t>
      </w:r>
      <w:r w:rsidR="009E7575">
        <w:rPr>
          <w:lang w:val="en-US"/>
        </w:rPr>
        <w:t>ing</w:t>
      </w:r>
      <w:r w:rsidR="008C3D75">
        <w:rPr>
          <w:lang w:val="en-US"/>
        </w:rPr>
        <w:t>, maintain</w:t>
      </w:r>
      <w:r w:rsidR="009E7575">
        <w:rPr>
          <w:lang w:val="en-US"/>
        </w:rPr>
        <w:t>ing</w:t>
      </w:r>
      <w:r w:rsidR="008C3D75">
        <w:rPr>
          <w:lang w:val="en-US"/>
        </w:rPr>
        <w:t xml:space="preserve"> and operat</w:t>
      </w:r>
      <w:r w:rsidR="009E7575">
        <w:rPr>
          <w:lang w:val="en-US"/>
        </w:rPr>
        <w:t>ing</w:t>
      </w:r>
      <w:r w:rsidR="008C3D75">
        <w:rPr>
          <w:lang w:val="en-US"/>
        </w:rPr>
        <w:t xml:space="preserve"> both the distribution and transmission network</w:t>
      </w:r>
      <w:r w:rsidR="009E7575">
        <w:rPr>
          <w:lang w:val="en-US"/>
        </w:rPr>
        <w:t>s</w:t>
      </w:r>
      <w:r w:rsidR="008C3D75">
        <w:rPr>
          <w:lang w:val="en-US"/>
        </w:rPr>
        <w:t xml:space="preserve"> and associated substations, switchyards, control rooms and test and protection equipment along with </w:t>
      </w:r>
      <w:r w:rsidR="009E7575">
        <w:rPr>
          <w:lang w:val="en-US"/>
        </w:rPr>
        <w:t>members</w:t>
      </w:r>
      <w:r w:rsidR="008C3D75">
        <w:rPr>
          <w:lang w:val="en-US"/>
        </w:rPr>
        <w:t xml:space="preserve"> engaged in the construction,</w:t>
      </w:r>
      <w:r w:rsidR="009E7575">
        <w:rPr>
          <w:lang w:val="en-US"/>
        </w:rPr>
        <w:t xml:space="preserve"> commissioning, </w:t>
      </w:r>
      <w:r w:rsidR="008C3D75">
        <w:rPr>
          <w:lang w:val="en-US"/>
        </w:rPr>
        <w:t xml:space="preserve">operation and maintenance of distributed energy assets. </w:t>
      </w:r>
      <w:r w:rsidR="00BC4280">
        <w:rPr>
          <w:lang w:val="en-US"/>
        </w:rPr>
        <w:t>ETU members work across both the NEM and Non-NEM networks.</w:t>
      </w:r>
    </w:p>
    <w:p w14:paraId="5B2BAF42" w14:textId="205B6006" w:rsidR="008C3D75" w:rsidRPr="008C3D75" w:rsidRDefault="009E7575" w:rsidP="008C3D75">
      <w:pPr>
        <w:rPr>
          <w:lang w:val="en-US"/>
        </w:rPr>
      </w:pPr>
      <w:r>
        <w:rPr>
          <w:lang w:val="en-US"/>
        </w:rPr>
        <w:t xml:space="preserve">In addition, </w:t>
      </w:r>
      <w:r w:rsidR="00BC4280">
        <w:rPr>
          <w:lang w:val="en-US"/>
        </w:rPr>
        <w:t xml:space="preserve">the </w:t>
      </w:r>
      <w:r w:rsidR="008C3D75">
        <w:rPr>
          <w:lang w:val="en-US"/>
        </w:rPr>
        <w:t xml:space="preserve">ETU </w:t>
      </w:r>
      <w:r w:rsidR="00BC4280">
        <w:rPr>
          <w:lang w:val="en-US"/>
        </w:rPr>
        <w:t xml:space="preserve">also represents </w:t>
      </w:r>
      <w:r w:rsidR="008C3D75">
        <w:rPr>
          <w:lang w:val="en-US"/>
        </w:rPr>
        <w:t xml:space="preserve">members </w:t>
      </w:r>
      <w:r w:rsidR="00BC4280">
        <w:rPr>
          <w:lang w:val="en-US"/>
        </w:rPr>
        <w:t>who</w:t>
      </w:r>
      <w:r w:rsidR="008C3D75">
        <w:rPr>
          <w:lang w:val="en-US"/>
        </w:rPr>
        <w:t xml:space="preserve"> work in many of the large</w:t>
      </w:r>
      <w:r>
        <w:rPr>
          <w:lang w:val="en-US"/>
        </w:rPr>
        <w:t xml:space="preserve"> and</w:t>
      </w:r>
      <w:r w:rsidR="008C3D75">
        <w:rPr>
          <w:lang w:val="en-US"/>
        </w:rPr>
        <w:t xml:space="preserve"> medium</w:t>
      </w:r>
      <w:r>
        <w:rPr>
          <w:lang w:val="en-US"/>
        </w:rPr>
        <w:t xml:space="preserve"> size</w:t>
      </w:r>
      <w:r w:rsidR="004E2D82">
        <w:rPr>
          <w:lang w:val="en-US"/>
        </w:rPr>
        <w:t>d</w:t>
      </w:r>
      <w:r w:rsidR="008C3D75">
        <w:rPr>
          <w:lang w:val="en-US"/>
        </w:rPr>
        <w:t xml:space="preserve"> industrial and commercial workplaces </w:t>
      </w:r>
      <w:r w:rsidR="004E2D82">
        <w:rPr>
          <w:lang w:val="en-US"/>
        </w:rPr>
        <w:t>and are likely to be th</w:t>
      </w:r>
      <w:r w:rsidR="00BC4280">
        <w:rPr>
          <w:lang w:val="en-US"/>
        </w:rPr>
        <w:t xml:space="preserve">e workers tasked with </w:t>
      </w:r>
      <w:r w:rsidR="004E2D82">
        <w:rPr>
          <w:lang w:val="en-US"/>
        </w:rPr>
        <w:t xml:space="preserve">installing and maintaining </w:t>
      </w:r>
      <w:r w:rsidR="00BC4280">
        <w:rPr>
          <w:lang w:val="en-US"/>
        </w:rPr>
        <w:t>the various de</w:t>
      </w:r>
      <w:r w:rsidR="008C3D75">
        <w:rPr>
          <w:lang w:val="en-US"/>
        </w:rPr>
        <w:t>mand response initiatives</w:t>
      </w:r>
      <w:r w:rsidR="00894567">
        <w:rPr>
          <w:lang w:val="en-US"/>
        </w:rPr>
        <w:t xml:space="preserve"> and opportunities</w:t>
      </w:r>
      <w:r w:rsidR="008C3D75">
        <w:rPr>
          <w:lang w:val="en-US"/>
        </w:rPr>
        <w:t>.</w:t>
      </w:r>
    </w:p>
    <w:p w14:paraId="637EFB84" w14:textId="446DADDE" w:rsidR="00D84F8E" w:rsidRDefault="00B67E94" w:rsidP="00CB67E3">
      <w:r>
        <w:t xml:space="preserve">I am writing to you </w:t>
      </w:r>
      <w:r w:rsidR="008C3D75">
        <w:t xml:space="preserve">to outline </w:t>
      </w:r>
      <w:r>
        <w:t xml:space="preserve">the ETU’s </w:t>
      </w:r>
      <w:r w:rsidR="008C3D75">
        <w:t>views on</w:t>
      </w:r>
      <w:r w:rsidR="00F05F2B">
        <w:t xml:space="preserve"> the matters raised in the DER Technical Standards Consultation Paper and provide the following responses to the questions raised in that paper.</w:t>
      </w:r>
      <w:r w:rsidR="008C3D75">
        <w:t xml:space="preserve"> </w:t>
      </w:r>
    </w:p>
    <w:p w14:paraId="60DDB68E" w14:textId="4AF4EB94" w:rsidR="004947FD" w:rsidRPr="004947FD" w:rsidRDefault="004947FD" w:rsidP="00CB67E3">
      <w:pPr>
        <w:rPr>
          <w:b/>
          <w:bCs/>
        </w:rPr>
      </w:pPr>
      <w:r w:rsidRPr="004947FD">
        <w:rPr>
          <w:b/>
          <w:bCs/>
        </w:rPr>
        <w:t>Q1. Do you support the proposal to establish a DER Standards Governance Committee under the National Electricity Rules? If not, what alternative would you suggest?</w:t>
      </w:r>
    </w:p>
    <w:p w14:paraId="0C74486F" w14:textId="74276B6B" w:rsidR="00894567" w:rsidRDefault="00696021" w:rsidP="00CB67E3">
      <w:r>
        <w:t xml:space="preserve">The ETU </w:t>
      </w:r>
      <w:r w:rsidR="004947FD">
        <w:t xml:space="preserve">has been a long-time supporter of and participant in tri-partite mechanism designed to balance the needs of business, </w:t>
      </w:r>
      <w:proofErr w:type="gramStart"/>
      <w:r w:rsidR="004947FD">
        <w:t>workers</w:t>
      </w:r>
      <w:proofErr w:type="gramEnd"/>
      <w:r w:rsidR="004947FD">
        <w:t xml:space="preserve"> and the community in matters relevant to the e</w:t>
      </w:r>
      <w:r w:rsidR="00894567">
        <w:t>nergy</w:t>
      </w:r>
      <w:r w:rsidR="004947FD">
        <w:t xml:space="preserve"> sector. </w:t>
      </w:r>
    </w:p>
    <w:p w14:paraId="1AF63364" w14:textId="6E82012F" w:rsidR="008C3D75" w:rsidRDefault="004947FD" w:rsidP="00CB67E3">
      <w:r>
        <w:t xml:space="preserve">The concept of a DER Standards Governance Committee could be a useful body to both ventilate and deliberate on the most appropriate outcomes to balance the various needs and interests of stakeholders. That is of course, if the stakeholders are in fact represented appropriately on such a body. </w:t>
      </w:r>
    </w:p>
    <w:p w14:paraId="7DD1DCFE" w14:textId="5007AA7E" w:rsidR="00BC4280" w:rsidRDefault="004947FD" w:rsidP="00CB67E3">
      <w:r>
        <w:t xml:space="preserve">Whether the body is </w:t>
      </w:r>
      <w:r w:rsidR="00BC4280">
        <w:t>conceived</w:t>
      </w:r>
      <w:r>
        <w:t xml:space="preserve"> under the National Electricity Rules or some other legislation warrants some consideration. Whilst it may require some effort to establish such a body under harmonised electric</w:t>
      </w:r>
      <w:r w:rsidR="008C3D75">
        <w:t>ity</w:t>
      </w:r>
      <w:r>
        <w:t xml:space="preserve"> laws it does provide some surety to participating jurisdictions as to its </w:t>
      </w:r>
      <w:r w:rsidR="00F05F2B">
        <w:t>makeup</w:t>
      </w:r>
      <w:r>
        <w:t>, resourcing, focus</w:t>
      </w:r>
      <w:r w:rsidR="008C3D75">
        <w:t xml:space="preserve">, accountability as well as </w:t>
      </w:r>
      <w:r w:rsidR="00894567">
        <w:t>its</w:t>
      </w:r>
      <w:r>
        <w:t xml:space="preserve"> ongoing </w:t>
      </w:r>
      <w:r w:rsidR="008C3D75">
        <w:t>tenure</w:t>
      </w:r>
      <w:r>
        <w:t>.</w:t>
      </w:r>
      <w:r w:rsidR="00BC4280">
        <w:t xml:space="preserve"> </w:t>
      </w:r>
    </w:p>
    <w:p w14:paraId="59C8AF15" w14:textId="7495B804" w:rsidR="004947FD" w:rsidRDefault="00BC4280" w:rsidP="00CB67E3">
      <w:r>
        <w:t xml:space="preserve">Ensuring the body has the relevant regulatory authority to perform its functions will be important to its success, particularly when it comes to compliance and enforcement. </w:t>
      </w:r>
    </w:p>
    <w:p w14:paraId="7B59BB91" w14:textId="42F49043" w:rsidR="004947FD" w:rsidRPr="0061553F" w:rsidRDefault="004947FD" w:rsidP="00CB67E3">
      <w:pPr>
        <w:rPr>
          <w:b/>
          <w:bCs/>
        </w:rPr>
      </w:pPr>
      <w:r w:rsidRPr="0061553F">
        <w:rPr>
          <w:b/>
          <w:bCs/>
        </w:rPr>
        <w:lastRenderedPageBreak/>
        <w:t>Q2. Do you have any feedback on the proposed functions of the DER Standards Governance Committee?</w:t>
      </w:r>
    </w:p>
    <w:p w14:paraId="27C4ACC6" w14:textId="77777777" w:rsidR="004C7C6D" w:rsidRDefault="004947FD" w:rsidP="00CB67E3">
      <w:r>
        <w:t>Whilst supportive of the proposed functions state</w:t>
      </w:r>
      <w:r w:rsidR="00894567">
        <w:t>d</w:t>
      </w:r>
      <w:r>
        <w:t xml:space="preserve">, the ETU believes </w:t>
      </w:r>
      <w:r w:rsidR="0061553F">
        <w:t xml:space="preserve">embedded in these functions should be </w:t>
      </w:r>
      <w:r w:rsidR="00BC4280">
        <w:t>the</w:t>
      </w:r>
      <w:r w:rsidR="0061553F">
        <w:t xml:space="preserve"> consideration of the impacts of </w:t>
      </w:r>
      <w:r w:rsidR="00894567">
        <w:t>these</w:t>
      </w:r>
      <w:r w:rsidR="0061553F">
        <w:t xml:space="preserve"> standards on workers, the community and other agencies including safety</w:t>
      </w:r>
      <w:r w:rsidR="00BC4280">
        <w:t xml:space="preserve"> regulators</w:t>
      </w:r>
      <w:r w:rsidR="0061553F">
        <w:t xml:space="preserve"> and emergency response</w:t>
      </w:r>
      <w:r w:rsidR="00BC4280">
        <w:t xml:space="preserve"> services</w:t>
      </w:r>
      <w:r w:rsidR="00894567">
        <w:t xml:space="preserve">. </w:t>
      </w:r>
    </w:p>
    <w:p w14:paraId="383C18E8" w14:textId="42776BB1" w:rsidR="004947FD" w:rsidRDefault="004C7C6D" w:rsidP="00CB67E3">
      <w:r>
        <w:t>The development, implementation and enforcement of DER Standards will have broad ranging impacts on workers, including but not limited to</w:t>
      </w:r>
      <w:r w:rsidR="00894567">
        <w:t>:</w:t>
      </w:r>
    </w:p>
    <w:p w14:paraId="418F6814" w14:textId="2C03B1DA" w:rsidR="0061553F" w:rsidRDefault="0061553F" w:rsidP="0061553F">
      <w:pPr>
        <w:pStyle w:val="ListParagraph"/>
        <w:numPr>
          <w:ilvl w:val="0"/>
          <w:numId w:val="2"/>
        </w:numPr>
      </w:pPr>
      <w:r>
        <w:t xml:space="preserve">Impacts on </w:t>
      </w:r>
      <w:r w:rsidR="00894567">
        <w:t xml:space="preserve">industry </w:t>
      </w:r>
      <w:r>
        <w:t xml:space="preserve">work practices </w:t>
      </w:r>
      <w:r w:rsidR="00894567">
        <w:t>and construction standards</w:t>
      </w:r>
    </w:p>
    <w:p w14:paraId="5CE64429" w14:textId="4D223096" w:rsidR="0061553F" w:rsidRDefault="0061553F" w:rsidP="0061553F">
      <w:pPr>
        <w:pStyle w:val="ListParagraph"/>
        <w:numPr>
          <w:ilvl w:val="0"/>
          <w:numId w:val="2"/>
        </w:numPr>
      </w:pPr>
      <w:r>
        <w:t xml:space="preserve">Skills and training </w:t>
      </w:r>
      <w:r w:rsidR="00894567">
        <w:t>needs</w:t>
      </w:r>
    </w:p>
    <w:p w14:paraId="3798BA88" w14:textId="40992608" w:rsidR="0061553F" w:rsidRDefault="0061553F" w:rsidP="0061553F">
      <w:pPr>
        <w:pStyle w:val="ListParagraph"/>
        <w:numPr>
          <w:ilvl w:val="0"/>
          <w:numId w:val="2"/>
        </w:numPr>
      </w:pPr>
      <w:r>
        <w:t xml:space="preserve">Consumer </w:t>
      </w:r>
      <w:r w:rsidR="00894567">
        <w:t xml:space="preserve">and worker </w:t>
      </w:r>
      <w:r>
        <w:t>safety considerations</w:t>
      </w:r>
    </w:p>
    <w:p w14:paraId="6E110A11" w14:textId="677C1583" w:rsidR="004C7C6D" w:rsidRDefault="00894567" w:rsidP="0061553F">
      <w:pPr>
        <w:pStyle w:val="ListParagraph"/>
        <w:numPr>
          <w:ilvl w:val="0"/>
          <w:numId w:val="2"/>
        </w:numPr>
      </w:pPr>
      <w:r>
        <w:t>Effects</w:t>
      </w:r>
      <w:r w:rsidR="0061553F">
        <w:t xml:space="preserve"> on jobs, </w:t>
      </w:r>
      <w:r>
        <w:t>productivity,</w:t>
      </w:r>
      <w:r w:rsidR="0061553F">
        <w:t xml:space="preserve"> and efficiency</w:t>
      </w:r>
      <w:r>
        <w:t xml:space="preserve"> measures in workplaces</w:t>
      </w:r>
      <w:r w:rsidR="0061553F">
        <w:t xml:space="preserve"> </w:t>
      </w:r>
    </w:p>
    <w:p w14:paraId="5FE17616" w14:textId="7E132876" w:rsidR="004C7C6D" w:rsidRDefault="004C7C6D" w:rsidP="0061553F">
      <w:pPr>
        <w:pStyle w:val="ListParagraph"/>
        <w:numPr>
          <w:ilvl w:val="0"/>
          <w:numId w:val="2"/>
        </w:numPr>
      </w:pPr>
      <w:r>
        <w:t>Workforce resourcing and skills m</w:t>
      </w:r>
      <w:r w:rsidR="002B591F">
        <w:t>atrices</w:t>
      </w:r>
      <w:r>
        <w:t xml:space="preserve"> </w:t>
      </w:r>
    </w:p>
    <w:p w14:paraId="08E8B0A4" w14:textId="2930272D" w:rsidR="0061553F" w:rsidRDefault="004C7C6D" w:rsidP="0061553F">
      <w:pPr>
        <w:pStyle w:val="ListParagraph"/>
        <w:numPr>
          <w:ilvl w:val="0"/>
          <w:numId w:val="2"/>
        </w:numPr>
      </w:pPr>
      <w:r>
        <w:t>Network stability</w:t>
      </w:r>
      <w:r w:rsidR="002B591F">
        <w:t xml:space="preserve"> and operations</w:t>
      </w:r>
    </w:p>
    <w:p w14:paraId="6E43BFE2" w14:textId="1F973BE1" w:rsidR="002B591F" w:rsidRDefault="002B591F" w:rsidP="0061553F">
      <w:pPr>
        <w:pStyle w:val="ListParagraph"/>
        <w:numPr>
          <w:ilvl w:val="0"/>
          <w:numId w:val="2"/>
        </w:numPr>
      </w:pPr>
      <w:r>
        <w:t>Industry transitions for workers</w:t>
      </w:r>
    </w:p>
    <w:p w14:paraId="43A6981A" w14:textId="3236CB72" w:rsidR="004C7C6D" w:rsidRDefault="002B591F" w:rsidP="0061553F">
      <w:pPr>
        <w:pStyle w:val="ListParagraph"/>
        <w:numPr>
          <w:ilvl w:val="0"/>
          <w:numId w:val="2"/>
        </w:numPr>
      </w:pPr>
      <w:r>
        <w:t>Dealings</w:t>
      </w:r>
      <w:r w:rsidR="0061553F">
        <w:t xml:space="preserve"> with </w:t>
      </w:r>
      <w:r w:rsidR="004C7C6D">
        <w:t>regulatory bodies</w:t>
      </w:r>
      <w:r>
        <w:t>; and</w:t>
      </w:r>
    </w:p>
    <w:p w14:paraId="65A38E2F" w14:textId="54A882A2" w:rsidR="0061553F" w:rsidRDefault="002B591F" w:rsidP="0061553F">
      <w:pPr>
        <w:pStyle w:val="ListParagraph"/>
        <w:numPr>
          <w:ilvl w:val="0"/>
          <w:numId w:val="2"/>
        </w:numPr>
      </w:pPr>
      <w:r>
        <w:t xml:space="preserve">Interactions with </w:t>
      </w:r>
      <w:r w:rsidR="0061553F">
        <w:t>emergency services</w:t>
      </w:r>
    </w:p>
    <w:p w14:paraId="34B55479" w14:textId="7CDF92D2" w:rsidR="004E2D82" w:rsidRDefault="004E2D82" w:rsidP="004E2D82">
      <w:r>
        <w:t>It is also important to understand that every state and territory in Australia has difference conduct rules when it comes to the performance of electrical work and for electrical safety standards</w:t>
      </w:r>
      <w:r w:rsidR="002B591F">
        <w:t xml:space="preserve"> and how this may interact with the development of standards and any particular jurisdictions capacity to adopt and comply with a standard</w:t>
      </w:r>
      <w:r>
        <w:t xml:space="preserve">. </w:t>
      </w:r>
    </w:p>
    <w:p w14:paraId="43FB15FC" w14:textId="55518268" w:rsidR="004E2D82" w:rsidRDefault="004E2D82" w:rsidP="004E2D82">
      <w:r>
        <w:t>The ETU has significant experience in these areas</w:t>
      </w:r>
      <w:r w:rsidR="00BC4280">
        <w:t xml:space="preserve">. The ETU also has both established </w:t>
      </w:r>
      <w:r>
        <w:t xml:space="preserve">formal </w:t>
      </w:r>
      <w:r w:rsidR="00BC4280">
        <w:t xml:space="preserve">and informal </w:t>
      </w:r>
      <w:r>
        <w:t xml:space="preserve">structures to consult deeply and widely with energy industry workers </w:t>
      </w:r>
      <w:proofErr w:type="gramStart"/>
      <w:r>
        <w:t>in order to</w:t>
      </w:r>
      <w:proofErr w:type="gramEnd"/>
      <w:r>
        <w:t xml:space="preserve"> effectively represent their views.</w:t>
      </w:r>
    </w:p>
    <w:p w14:paraId="5C1DE5A3" w14:textId="09F71851" w:rsidR="004947FD" w:rsidRPr="0061553F" w:rsidRDefault="004947FD" w:rsidP="00CB67E3">
      <w:pPr>
        <w:rPr>
          <w:b/>
          <w:bCs/>
        </w:rPr>
      </w:pPr>
      <w:r w:rsidRPr="0061553F">
        <w:rPr>
          <w:b/>
          <w:bCs/>
        </w:rPr>
        <w:t>Q3. Do you support the DER Standards Governance Committee being advisory or be determining? Please provide reasons.</w:t>
      </w:r>
    </w:p>
    <w:p w14:paraId="762E4AB3" w14:textId="77777777" w:rsidR="00894567" w:rsidRDefault="0061553F" w:rsidP="00CB67E3">
      <w:r>
        <w:t>If the committee is to perform the functions proposed at chapter 4 of the discussion paper, then it is entirely likely the committee w</w:t>
      </w:r>
      <w:r w:rsidR="00894567">
        <w:t>ould</w:t>
      </w:r>
      <w:r>
        <w:t xml:space="preserve"> need the flexibility to act in both an advisory and determining capacity</w:t>
      </w:r>
      <w:r w:rsidR="00894567">
        <w:t xml:space="preserve"> with clear delineation and charters for each outcome</w:t>
      </w:r>
      <w:r>
        <w:t xml:space="preserve">. </w:t>
      </w:r>
    </w:p>
    <w:p w14:paraId="401DC939" w14:textId="3C0B85C9" w:rsidR="004947FD" w:rsidRDefault="0061553F" w:rsidP="00CB67E3">
      <w:r>
        <w:t>Issuing guidance to any jurisdiction is necessarily complex and will require adaptation to many different scenarios. A one-size fits all approach w</w:t>
      </w:r>
      <w:r w:rsidR="00894567">
        <w:t>ould</w:t>
      </w:r>
      <w:r>
        <w:t xml:space="preserve"> not serve the </w:t>
      </w:r>
      <w:r w:rsidR="00894567">
        <w:t xml:space="preserve">best </w:t>
      </w:r>
      <w:r>
        <w:t xml:space="preserve">interests of consumers, </w:t>
      </w:r>
      <w:proofErr w:type="gramStart"/>
      <w:r>
        <w:t>business</w:t>
      </w:r>
      <w:proofErr w:type="gramEnd"/>
      <w:r>
        <w:t xml:space="preserve"> </w:t>
      </w:r>
      <w:r w:rsidR="00894567">
        <w:t>and</w:t>
      </w:r>
      <w:r>
        <w:t xml:space="preserve"> workers. </w:t>
      </w:r>
    </w:p>
    <w:p w14:paraId="4E02A5E4" w14:textId="060F771B" w:rsidR="0061553F" w:rsidRDefault="0061553F" w:rsidP="00CB67E3">
      <w:r>
        <w:t>Allowing for both advisory and determinat</w:t>
      </w:r>
      <w:r w:rsidR="00894567">
        <w:t>e</w:t>
      </w:r>
      <w:r>
        <w:t xml:space="preserve"> outcomes will also provide the committee with flexibility in it</w:t>
      </w:r>
      <w:r w:rsidR="00894567">
        <w:t>s</w:t>
      </w:r>
      <w:r>
        <w:t xml:space="preserve"> work</w:t>
      </w:r>
      <w:r w:rsidR="00894567">
        <w:t xml:space="preserve"> and the capacity to deliver more timely advice to the jurisdiction for lower risk matters.  </w:t>
      </w:r>
      <w:r>
        <w:t xml:space="preserve"> </w:t>
      </w:r>
      <w:r w:rsidR="00894567">
        <w:t>D</w:t>
      </w:r>
      <w:r>
        <w:t>eterminat</w:t>
      </w:r>
      <w:r w:rsidR="00894567">
        <w:t>e</w:t>
      </w:r>
      <w:r>
        <w:t xml:space="preserve"> outcomes will necessarily require higher levels of engagement and consultation and is likely to require significantly higher rigour and at times analysis of the regulatory impact of decisions. </w:t>
      </w:r>
    </w:p>
    <w:p w14:paraId="43C2AD7A" w14:textId="1A58FE7C" w:rsidR="0061553F" w:rsidRDefault="0061553F" w:rsidP="00CB67E3">
      <w:r>
        <w:t>It is likely there will be situations where guidance will be of more assistance than a hard decision and others where hard decisions will be more appropriate than non-binding guidance.</w:t>
      </w:r>
    </w:p>
    <w:p w14:paraId="166802D6" w14:textId="2B8C03EF" w:rsidR="0061553F" w:rsidRDefault="00894567" w:rsidP="00CB67E3">
      <w:r>
        <w:t>A key criticism of Australia’s energy regulatory environment has been the timeliness of decision making and providing this flexibility to the committee could assist to avoid further criticism while also allowing a graduated risk-based approach in the development of standards.</w:t>
      </w:r>
    </w:p>
    <w:p w14:paraId="1BFB5BFA" w14:textId="77777777" w:rsidR="004947FD" w:rsidRPr="0061553F" w:rsidRDefault="004947FD" w:rsidP="00CB67E3">
      <w:pPr>
        <w:rPr>
          <w:b/>
          <w:bCs/>
        </w:rPr>
      </w:pPr>
      <w:r w:rsidRPr="0061553F">
        <w:rPr>
          <w:b/>
          <w:bCs/>
        </w:rPr>
        <w:lastRenderedPageBreak/>
        <w:t xml:space="preserve">Q4. Do you have any feedback about the Committee determining standards in a subsidiary instrument under the rules? </w:t>
      </w:r>
    </w:p>
    <w:p w14:paraId="610DC823" w14:textId="1348BA64" w:rsidR="004947FD" w:rsidRDefault="006A75FC" w:rsidP="00CB67E3">
      <w:r>
        <w:t>No</w:t>
      </w:r>
      <w:r w:rsidR="00BC4280">
        <w:t xml:space="preserve">t </w:t>
      </w:r>
      <w:proofErr w:type="gramStart"/>
      <w:r w:rsidR="00BC4280">
        <w:t>at this time</w:t>
      </w:r>
      <w:proofErr w:type="gramEnd"/>
      <w:r w:rsidR="00BC4280">
        <w:t>.</w:t>
      </w:r>
    </w:p>
    <w:p w14:paraId="6CD7C701" w14:textId="2FE5641C" w:rsidR="004947FD" w:rsidRPr="0061553F" w:rsidRDefault="004947FD" w:rsidP="00CB67E3">
      <w:pPr>
        <w:rPr>
          <w:b/>
          <w:bCs/>
        </w:rPr>
      </w:pPr>
      <w:r w:rsidRPr="0061553F">
        <w:rPr>
          <w:b/>
          <w:bCs/>
        </w:rPr>
        <w:t xml:space="preserve">Q5. </w:t>
      </w:r>
      <w:r w:rsidR="0061553F" w:rsidRPr="0061553F">
        <w:rPr>
          <w:b/>
          <w:bCs/>
        </w:rPr>
        <w:t>Do you have any feedback on the development of new compliance and enforcement arrangements for DER technical standards?</w:t>
      </w:r>
    </w:p>
    <w:p w14:paraId="5A2F4AC1" w14:textId="57596F7C" w:rsidR="004947FD" w:rsidRDefault="00F05F2B" w:rsidP="00CB67E3">
      <w:r>
        <w:t>The ETU recognises the need to develop appropriate, risk-based compliance and enforcement models that a</w:t>
      </w:r>
      <w:r w:rsidR="00894567">
        <w:t>re</w:t>
      </w:r>
      <w:r>
        <w:t xml:space="preserve"> clearly understood by all stakeholders and able to be complied with.</w:t>
      </w:r>
      <w:r w:rsidR="00894567">
        <w:t xml:space="preserve"> There is also a strong need for any deterrents to be enforceable and actionable in a timely fashion.</w:t>
      </w:r>
    </w:p>
    <w:p w14:paraId="3650352D" w14:textId="670B41F6" w:rsidR="00894567" w:rsidRDefault="006E5126" w:rsidP="00CB67E3">
      <w:r>
        <w:t>To</w:t>
      </w:r>
      <w:r w:rsidR="00894567">
        <w:t xml:space="preserve"> achieve this kind of approach the </w:t>
      </w:r>
      <w:r>
        <w:t xml:space="preserve">performance measures and standards associated with the compliance and enforcement work of the committee will need to be clear, </w:t>
      </w:r>
      <w:r w:rsidR="00BC4280">
        <w:t>transparent,</w:t>
      </w:r>
      <w:r>
        <w:t xml:space="preserve"> and well promulgated. It will also be important to establish uniformity and transparency in the reporting and data metrics while ensuring any data-warehouse used to support this work is as broadly accessible to industry as possible.</w:t>
      </w:r>
    </w:p>
    <w:p w14:paraId="357D196D" w14:textId="44F21A76" w:rsidR="004947FD" w:rsidRPr="008E4A4A" w:rsidRDefault="004947FD" w:rsidP="00CB67E3">
      <w:pPr>
        <w:rPr>
          <w:b/>
          <w:bCs/>
        </w:rPr>
      </w:pPr>
      <w:r w:rsidRPr="008E4A4A">
        <w:rPr>
          <w:b/>
          <w:bCs/>
        </w:rPr>
        <w:t xml:space="preserve">Q6. Do you support the proposed composition of the membership and nature of chair of the Committee? Please provide reasons or nominate alternative arrangements. </w:t>
      </w:r>
    </w:p>
    <w:p w14:paraId="4953186E" w14:textId="3969B643" w:rsidR="008E4A4A" w:rsidRPr="008E4A4A" w:rsidRDefault="008E4A4A" w:rsidP="008E4A4A">
      <w:r>
        <w:t xml:space="preserve">No. </w:t>
      </w:r>
      <w:r w:rsidRPr="008E4A4A">
        <w:t xml:space="preserve">The </w:t>
      </w:r>
      <w:r>
        <w:t xml:space="preserve">ETU has been raising regularly that the </w:t>
      </w:r>
      <w:r w:rsidRPr="008E4A4A">
        <w:t xml:space="preserve">processes associated with engagement and consultation on </w:t>
      </w:r>
      <w:r>
        <w:t xml:space="preserve">energy related matters </w:t>
      </w:r>
      <w:r w:rsidRPr="008E4A4A">
        <w:t xml:space="preserve">are seriously flawed. It is designed to only allow meaningful participation of large, </w:t>
      </w:r>
      <w:r w:rsidR="00F05F2B" w:rsidRPr="008E4A4A">
        <w:t>well-resourced</w:t>
      </w:r>
      <w:r w:rsidRPr="008E4A4A">
        <w:t xml:space="preserve"> organisations with teams of dedicated professionals working full time on the issues being discussed.</w:t>
      </w:r>
    </w:p>
    <w:p w14:paraId="13DD1AEA" w14:textId="404111E5" w:rsidR="008E4A4A" w:rsidRPr="008E4A4A" w:rsidRDefault="008E4A4A" w:rsidP="008E4A4A">
      <w:r>
        <w:t>Change in the energy sector is</w:t>
      </w:r>
      <w:r w:rsidRPr="008E4A4A">
        <w:t xml:space="preserve"> almost entirely absent any meaningful engagement with energy industry workers</w:t>
      </w:r>
      <w:r>
        <w:t xml:space="preserve"> and </w:t>
      </w:r>
      <w:r w:rsidRPr="008E4A4A">
        <w:t xml:space="preserve">their Unions. </w:t>
      </w:r>
      <w:r>
        <w:t>It is our experience that t</w:t>
      </w:r>
      <w:r w:rsidRPr="008E4A4A">
        <w:t xml:space="preserve">here is significant disparity in the level of engagement with </w:t>
      </w:r>
      <w:r>
        <w:t xml:space="preserve">different energy </w:t>
      </w:r>
      <w:r w:rsidRPr="008E4A4A">
        <w:t>stakeholders with selected organisations receiving briefings, phone calls and emails about key issues while other stakeholders, such as our Union, are left to monitor a myriad of complex websites hoping to find out when an opportunity to contribute may arise.</w:t>
      </w:r>
    </w:p>
    <w:p w14:paraId="245E4C84" w14:textId="1B584407" w:rsidR="008E4A4A" w:rsidRDefault="008E4A4A" w:rsidP="008E4A4A">
      <w:r w:rsidRPr="008E4A4A">
        <w:t xml:space="preserve">Australia is </w:t>
      </w:r>
      <w:proofErr w:type="gramStart"/>
      <w:r w:rsidRPr="008E4A4A">
        <w:t>in the midst of</w:t>
      </w:r>
      <w:proofErr w:type="gramEnd"/>
      <w:r w:rsidRPr="008E4A4A">
        <w:t xml:space="preserve"> a radical energy transition that is having a disproportionate impact on energy industry workers, yet they are almost unilaterally excluded from meaningful engagement and consultation.</w:t>
      </w:r>
    </w:p>
    <w:p w14:paraId="24367F1C" w14:textId="4AAB7B77" w:rsidR="008E4A4A" w:rsidRDefault="006E5126" w:rsidP="008E4A4A">
      <w:r>
        <w:t>Historically, t</w:t>
      </w:r>
      <w:r w:rsidR="008E4A4A">
        <w:t xml:space="preserve">he ETU has been engaged in the earlier </w:t>
      </w:r>
      <w:r>
        <w:t xml:space="preserve">periods of the initial </w:t>
      </w:r>
      <w:r w:rsidR="008E4A4A">
        <w:t xml:space="preserve">energy transition when household solar was first being deployed on a larger scale, bolstered by the early high rates of feed in </w:t>
      </w:r>
      <w:r>
        <w:t xml:space="preserve">tariffs </w:t>
      </w:r>
      <w:r w:rsidR="008E4A4A">
        <w:t xml:space="preserve">set by </w:t>
      </w:r>
      <w:r>
        <w:t xml:space="preserve">State and Territory </w:t>
      </w:r>
      <w:r w:rsidR="008E4A4A">
        <w:t xml:space="preserve">Governments. The impacts of these </w:t>
      </w:r>
      <w:r>
        <w:t xml:space="preserve">early </w:t>
      </w:r>
      <w:r w:rsidR="008E4A4A">
        <w:t xml:space="preserve">programs were </w:t>
      </w:r>
      <w:r>
        <w:t xml:space="preserve">initially </w:t>
      </w:r>
      <w:r w:rsidR="008E4A4A">
        <w:t>absent engagement and consultation with workers representatives despite many ETU members predic</w:t>
      </w:r>
      <w:r>
        <w:t>ti</w:t>
      </w:r>
      <w:r w:rsidR="008E4A4A">
        <w:t xml:space="preserve">ng </w:t>
      </w:r>
      <w:r>
        <w:t>all t</w:t>
      </w:r>
      <w:r w:rsidR="008E4A4A">
        <w:t>he voltage</w:t>
      </w:r>
      <w:r w:rsidR="00F05F2B">
        <w:t xml:space="preserve"> issues</w:t>
      </w:r>
      <w:r w:rsidR="008E4A4A">
        <w:t xml:space="preserve">, network constraints and safety implications </w:t>
      </w:r>
      <w:r w:rsidR="00F05F2B">
        <w:t>that manifested shortly after the deployment ramped up</w:t>
      </w:r>
      <w:r w:rsidR="008E4A4A">
        <w:t>.</w:t>
      </w:r>
    </w:p>
    <w:p w14:paraId="5CAF37BE" w14:textId="1558F2BB" w:rsidR="008E4A4A" w:rsidRDefault="008E4A4A" w:rsidP="008E4A4A">
      <w:r>
        <w:t xml:space="preserve">The resultant increases in call outs, reports of ‘tingles’ from taps, transformer failures and household appliance damage </w:t>
      </w:r>
      <w:r w:rsidR="00F05F2B">
        <w:t>along with</w:t>
      </w:r>
      <w:r>
        <w:t xml:space="preserve"> network constraints such that many households ended up being (and remain) unable to export to the grid were all entirely predictable. These were the issues being discussed in </w:t>
      </w:r>
      <w:r w:rsidR="006E5126">
        <w:t xml:space="preserve">ETU members </w:t>
      </w:r>
      <w:r>
        <w:t>workplaces</w:t>
      </w:r>
      <w:r w:rsidR="00F05F2B">
        <w:t xml:space="preserve"> in this part of the industry</w:t>
      </w:r>
      <w:r>
        <w:t xml:space="preserve"> </w:t>
      </w:r>
      <w:r w:rsidR="006E5126">
        <w:t xml:space="preserve">constantly. So too were the </w:t>
      </w:r>
      <w:r>
        <w:t>safety implications such as early policies adopted by emergency services to treat houses with solar panels as live, effectively determining the property would be left to simply burn and the focus was on containing the fire to the single property</w:t>
      </w:r>
      <w:r w:rsidR="00F05F2B">
        <w:t xml:space="preserve">. A policy which was finally removed once a </w:t>
      </w:r>
      <w:proofErr w:type="gramStart"/>
      <w:r w:rsidR="00F05F2B">
        <w:t>fairly straightforward</w:t>
      </w:r>
      <w:proofErr w:type="gramEnd"/>
      <w:r w:rsidR="00F05F2B">
        <w:t xml:space="preserve"> </w:t>
      </w:r>
      <w:r>
        <w:t>technical solution</w:t>
      </w:r>
      <w:r w:rsidR="006E5126">
        <w:t>s</w:t>
      </w:r>
      <w:r>
        <w:t xml:space="preserve">, which our Union was heavily involved in developing, </w:t>
      </w:r>
      <w:r w:rsidR="006E5126">
        <w:t xml:space="preserve">were </w:t>
      </w:r>
      <w:r w:rsidR="006E5126">
        <w:lastRenderedPageBreak/>
        <w:t>developed</w:t>
      </w:r>
      <w:r>
        <w:t xml:space="preserve"> to give assurance to emergency service personnel that the property was indeed electrically isolated.</w:t>
      </w:r>
    </w:p>
    <w:p w14:paraId="3B9497E8" w14:textId="154726F1" w:rsidR="008E4A4A" w:rsidRDefault="008E4A4A" w:rsidP="008E4A4A">
      <w:r>
        <w:t xml:space="preserve">The ETU has over a 100 years’ experience in advocating for and developing practical regulatory reform for our </w:t>
      </w:r>
      <w:r w:rsidR="006E5126">
        <w:t>industry,</w:t>
      </w:r>
      <w:r>
        <w:t xml:space="preserve"> yet we continue to be excluded from these processes.</w:t>
      </w:r>
    </w:p>
    <w:p w14:paraId="22F9D210" w14:textId="64FC71D3" w:rsidR="004E2D82" w:rsidRDefault="006E5126" w:rsidP="008E4A4A">
      <w:r>
        <w:t xml:space="preserve">The ETU currently sits on all Australian Standard committees associated with the industry along with both Federal and State industry skills councils, licencing boards and many other similar fora and have a wealth of both experience and industry networks relevant to the role. </w:t>
      </w:r>
    </w:p>
    <w:p w14:paraId="65ADB0EF" w14:textId="74C41F83" w:rsidR="006E5126" w:rsidRPr="008E4A4A" w:rsidRDefault="006E5126" w:rsidP="008E4A4A">
      <w:r>
        <w:t xml:space="preserve">As the largest single representative body in the electrical industry, the ETU should be an obvious candidate for representation on a DER Technical Standards Committee. </w:t>
      </w:r>
    </w:p>
    <w:p w14:paraId="488AEEF3" w14:textId="037DC45D" w:rsidR="004947FD" w:rsidRPr="00F05F2B" w:rsidRDefault="004947FD" w:rsidP="00CB67E3">
      <w:pPr>
        <w:rPr>
          <w:b/>
          <w:bCs/>
        </w:rPr>
      </w:pPr>
      <w:r w:rsidRPr="00F05F2B">
        <w:rPr>
          <w:b/>
          <w:bCs/>
        </w:rPr>
        <w:t xml:space="preserve">Q7. Do you support the proposed terms and selection arrangements? Please provide reasons. </w:t>
      </w:r>
    </w:p>
    <w:p w14:paraId="0AE2D398" w14:textId="36F5FF80" w:rsidR="008E4A4A" w:rsidRDefault="008E4A4A" w:rsidP="00CB67E3">
      <w:r>
        <w:t xml:space="preserve">The ETU recognises the need </w:t>
      </w:r>
      <w:r w:rsidR="00F05F2B">
        <w:t>for</w:t>
      </w:r>
      <w:r>
        <w:t xml:space="preserve"> </w:t>
      </w:r>
      <w:r w:rsidR="00F05F2B">
        <w:t>skills-based</w:t>
      </w:r>
      <w:r>
        <w:t xml:space="preserve"> appointments, acknowledging that this proposal </w:t>
      </w:r>
      <w:r w:rsidR="00F05F2B">
        <w:t xml:space="preserve">appears to </w:t>
      </w:r>
      <w:r>
        <w:t>include a mixture of skills based and nominating</w:t>
      </w:r>
      <w:r w:rsidR="006E5126">
        <w:t>-</w:t>
      </w:r>
      <w:r>
        <w:t xml:space="preserve">organisation based appointments. </w:t>
      </w:r>
      <w:r w:rsidR="00F05F2B">
        <w:t>It is entirely achievable to have a nominating</w:t>
      </w:r>
      <w:r w:rsidR="006E5126">
        <w:t>-</w:t>
      </w:r>
      <w:r w:rsidR="00F05F2B">
        <w:t>organisation based appointment process that also requires sponsoring organisations ensure their nomination ha</w:t>
      </w:r>
      <w:r w:rsidR="006E5126">
        <w:t>ve</w:t>
      </w:r>
      <w:r w:rsidR="00F05F2B">
        <w:t xml:space="preserve"> the appropriate skills for the role.</w:t>
      </w:r>
    </w:p>
    <w:p w14:paraId="1657AE7D" w14:textId="3D2CCA8B" w:rsidR="006E5126" w:rsidRDefault="006E5126" w:rsidP="00CB67E3">
      <w:r>
        <w:t>It would be inconsistent to have a mixture of nominati</w:t>
      </w:r>
      <w:r w:rsidR="004E2D82">
        <w:t>ng-organisation</w:t>
      </w:r>
      <w:r>
        <w:t xml:space="preserve"> based </w:t>
      </w:r>
      <w:r w:rsidR="004E2D82">
        <w:t>appointments and skills-based appointments.</w:t>
      </w:r>
    </w:p>
    <w:p w14:paraId="21EA778E" w14:textId="12DE7F73" w:rsidR="004E2D82" w:rsidRDefault="004E2D82" w:rsidP="00CB67E3">
      <w:r>
        <w:t>The committee should be established by identifying the most appropriate stakeholder participation and then requiring those organisations to nominate appropriately skilled members to the committee.</w:t>
      </w:r>
    </w:p>
    <w:p w14:paraId="0C3BACDA" w14:textId="1B45318F" w:rsidR="004947FD" w:rsidRPr="00F05F2B" w:rsidRDefault="004947FD" w:rsidP="00CB67E3">
      <w:pPr>
        <w:rPr>
          <w:b/>
          <w:bCs/>
        </w:rPr>
      </w:pPr>
      <w:r w:rsidRPr="00F05F2B">
        <w:rPr>
          <w:b/>
          <w:bCs/>
        </w:rPr>
        <w:t>Q8. Do you have any feedback on the other elements of the proposed operation of the Committee?</w:t>
      </w:r>
    </w:p>
    <w:p w14:paraId="65301EB0" w14:textId="7AEF9787" w:rsidR="004947FD" w:rsidRDefault="00F05F2B" w:rsidP="00CB67E3">
      <w:r>
        <w:t xml:space="preserve">Not </w:t>
      </w:r>
      <w:proofErr w:type="gramStart"/>
      <w:r>
        <w:t>at this time</w:t>
      </w:r>
      <w:proofErr w:type="gramEnd"/>
      <w:r>
        <w:t>.</w:t>
      </w:r>
    </w:p>
    <w:p w14:paraId="75D32CCE" w14:textId="76666F06" w:rsidR="003C43A0" w:rsidRPr="003C43A0" w:rsidRDefault="003C43A0" w:rsidP="00CB67E3">
      <w:pPr>
        <w:rPr>
          <w:b/>
          <w:bCs/>
        </w:rPr>
      </w:pPr>
      <w:r w:rsidRPr="003C43A0">
        <w:rPr>
          <w:b/>
          <w:bCs/>
        </w:rPr>
        <w:t>Conclusion</w:t>
      </w:r>
    </w:p>
    <w:p w14:paraId="6655BACB" w14:textId="3525032C" w:rsidR="00B90AF9" w:rsidRDefault="00B90AF9" w:rsidP="004E2D82">
      <w:pPr>
        <w:spacing w:after="0"/>
      </w:pPr>
      <w:r>
        <w:t xml:space="preserve">In closing I would like to reiterate the ETU’s </w:t>
      </w:r>
      <w:r w:rsidR="008F0760">
        <w:t xml:space="preserve">concern with the lack of meaningful engagement with energy industry workers and their representatives. There is an untapped resource of industry knowledge and expertise </w:t>
      </w:r>
      <w:r w:rsidR="00F05F2B">
        <w:t>a committee, such as the one proposed,</w:t>
      </w:r>
      <w:r w:rsidR="008F0760">
        <w:t xml:space="preserve"> must consider how to better engage and consult with.</w:t>
      </w:r>
      <w:r w:rsidR="004E2D82">
        <w:t xml:space="preserve"> Absent ETU representation our Union would oppose the establishment of a DER Technical Standards Committee.</w:t>
      </w:r>
    </w:p>
    <w:p w14:paraId="67F78021" w14:textId="77777777" w:rsidR="004E2D82" w:rsidRDefault="004E2D82" w:rsidP="004E2D82">
      <w:pPr>
        <w:spacing w:after="0"/>
      </w:pPr>
    </w:p>
    <w:p w14:paraId="4DB244BD" w14:textId="74783336" w:rsidR="00CB67E3" w:rsidRDefault="00D9092F" w:rsidP="00CB67E3">
      <w:r>
        <w:t>Should you wish to discuss the matters we have raised further, p</w:t>
      </w:r>
      <w:r w:rsidR="00CB67E3">
        <w:t>lease feel free to contact our</w:t>
      </w:r>
      <w:r w:rsidR="00B67E94">
        <w:t xml:space="preserve"> </w:t>
      </w:r>
      <w:r w:rsidR="00CB67E3">
        <w:t xml:space="preserve">National Policy Officer Trevor Gauld at </w:t>
      </w:r>
      <w:hyperlink r:id="rId6" w:history="1">
        <w:r w:rsidR="00CB67E3" w:rsidRPr="008D7C08">
          <w:rPr>
            <w:rStyle w:val="Hyperlink"/>
          </w:rPr>
          <w:t>trevor@etuaustralia.org.au</w:t>
        </w:r>
      </w:hyperlink>
      <w:r w:rsidR="00CB67E3">
        <w:t xml:space="preserve">. </w:t>
      </w:r>
    </w:p>
    <w:p w14:paraId="2ADAF591" w14:textId="77777777" w:rsidR="00AA0046" w:rsidRDefault="00AA0046" w:rsidP="00CB67E3"/>
    <w:p w14:paraId="4B03DE8D" w14:textId="6F0137DE" w:rsidR="00CB67E3" w:rsidRDefault="00CB67E3" w:rsidP="00CB67E3">
      <w:r>
        <w:t>Yours Sincerely,</w:t>
      </w:r>
    </w:p>
    <w:p w14:paraId="1CC93CC8" w14:textId="6F2D8551" w:rsidR="009B396E" w:rsidRDefault="009B396E" w:rsidP="00CB67E3"/>
    <w:p w14:paraId="40606B43" w14:textId="77777777" w:rsidR="009B396E" w:rsidRDefault="009B396E" w:rsidP="00CB67E3"/>
    <w:p w14:paraId="06FAE52F" w14:textId="77777777" w:rsidR="009B396E" w:rsidRDefault="00CB67E3" w:rsidP="00CB67E3">
      <w:r>
        <w:t>Allen Hicks</w:t>
      </w:r>
    </w:p>
    <w:p w14:paraId="1F92FF3D" w14:textId="6236E522" w:rsidR="00CB67E3" w:rsidRPr="009B396E" w:rsidRDefault="009B396E" w:rsidP="00CB67E3">
      <w:pPr>
        <w:rPr>
          <w:b/>
          <w:bCs/>
        </w:rPr>
      </w:pPr>
      <w:r w:rsidRPr="009B396E">
        <w:rPr>
          <w:b/>
          <w:bCs/>
        </w:rPr>
        <w:t>National Secretary</w:t>
      </w:r>
    </w:p>
    <w:sectPr w:rsidR="00CB67E3" w:rsidRPr="009B39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983A49"/>
    <w:multiLevelType w:val="hybridMultilevel"/>
    <w:tmpl w:val="807EC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A1D3906"/>
    <w:multiLevelType w:val="hybridMultilevel"/>
    <w:tmpl w:val="C8702DFE"/>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7E3"/>
    <w:rsid w:val="00022B6E"/>
    <w:rsid w:val="000640FE"/>
    <w:rsid w:val="00090B15"/>
    <w:rsid w:val="0009287A"/>
    <w:rsid w:val="000B08FF"/>
    <w:rsid w:val="000F4A71"/>
    <w:rsid w:val="00123061"/>
    <w:rsid w:val="00154AFF"/>
    <w:rsid w:val="00164115"/>
    <w:rsid w:val="00166D9F"/>
    <w:rsid w:val="00191E3B"/>
    <w:rsid w:val="001D1975"/>
    <w:rsid w:val="001D1D8F"/>
    <w:rsid w:val="001D6B6F"/>
    <w:rsid w:val="001D6C31"/>
    <w:rsid w:val="002654D4"/>
    <w:rsid w:val="002B591F"/>
    <w:rsid w:val="002E22D9"/>
    <w:rsid w:val="002F71E9"/>
    <w:rsid w:val="00331C2E"/>
    <w:rsid w:val="00375D2B"/>
    <w:rsid w:val="003C43A0"/>
    <w:rsid w:val="004947FD"/>
    <w:rsid w:val="004A2F1D"/>
    <w:rsid w:val="004B328F"/>
    <w:rsid w:val="004C7C6D"/>
    <w:rsid w:val="004E2D82"/>
    <w:rsid w:val="00532D6A"/>
    <w:rsid w:val="00562C6B"/>
    <w:rsid w:val="0057723B"/>
    <w:rsid w:val="005B0723"/>
    <w:rsid w:val="006026B8"/>
    <w:rsid w:val="0061065F"/>
    <w:rsid w:val="0061553F"/>
    <w:rsid w:val="00616212"/>
    <w:rsid w:val="0062322A"/>
    <w:rsid w:val="00627D21"/>
    <w:rsid w:val="00627EBD"/>
    <w:rsid w:val="00641A92"/>
    <w:rsid w:val="00644083"/>
    <w:rsid w:val="006868EE"/>
    <w:rsid w:val="00696021"/>
    <w:rsid w:val="006A5B0C"/>
    <w:rsid w:val="006A75FC"/>
    <w:rsid w:val="006E5126"/>
    <w:rsid w:val="00774516"/>
    <w:rsid w:val="0079169F"/>
    <w:rsid w:val="007B2451"/>
    <w:rsid w:val="007D5944"/>
    <w:rsid w:val="007D7E83"/>
    <w:rsid w:val="00804D9A"/>
    <w:rsid w:val="00862F4B"/>
    <w:rsid w:val="00894567"/>
    <w:rsid w:val="008A491A"/>
    <w:rsid w:val="008B1535"/>
    <w:rsid w:val="008B1FC6"/>
    <w:rsid w:val="008C3923"/>
    <w:rsid w:val="008C3D75"/>
    <w:rsid w:val="008D22E2"/>
    <w:rsid w:val="008D4ACF"/>
    <w:rsid w:val="008E4A4A"/>
    <w:rsid w:val="008F0760"/>
    <w:rsid w:val="009563C0"/>
    <w:rsid w:val="009B396E"/>
    <w:rsid w:val="009D6F0D"/>
    <w:rsid w:val="009E1683"/>
    <w:rsid w:val="009E7575"/>
    <w:rsid w:val="00A12DEB"/>
    <w:rsid w:val="00A50FFE"/>
    <w:rsid w:val="00AA0046"/>
    <w:rsid w:val="00AF512E"/>
    <w:rsid w:val="00B55E4B"/>
    <w:rsid w:val="00B61BC1"/>
    <w:rsid w:val="00B67E94"/>
    <w:rsid w:val="00B73AFA"/>
    <w:rsid w:val="00B90AF9"/>
    <w:rsid w:val="00BC13DD"/>
    <w:rsid w:val="00BC4280"/>
    <w:rsid w:val="00C01D9A"/>
    <w:rsid w:val="00C604A1"/>
    <w:rsid w:val="00CA0A60"/>
    <w:rsid w:val="00CB67E3"/>
    <w:rsid w:val="00D0371F"/>
    <w:rsid w:val="00D12E90"/>
    <w:rsid w:val="00D84F8E"/>
    <w:rsid w:val="00D87B71"/>
    <w:rsid w:val="00D9092F"/>
    <w:rsid w:val="00DA41F2"/>
    <w:rsid w:val="00DD7BFD"/>
    <w:rsid w:val="00DE3F5F"/>
    <w:rsid w:val="00DF4706"/>
    <w:rsid w:val="00E2782D"/>
    <w:rsid w:val="00E80604"/>
    <w:rsid w:val="00EE7E5E"/>
    <w:rsid w:val="00F01E49"/>
    <w:rsid w:val="00F05F2B"/>
    <w:rsid w:val="00F17903"/>
    <w:rsid w:val="00F477DF"/>
    <w:rsid w:val="00F6463C"/>
    <w:rsid w:val="00FD1109"/>
    <w:rsid w:val="00FD6F9B"/>
    <w:rsid w:val="00FF5B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A14E"/>
  <w15:chartTrackingRefBased/>
  <w15:docId w15:val="{DEDFA62A-D2F3-4D78-B14D-2C97F6E63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67E3"/>
    <w:rPr>
      <w:color w:val="0563C1" w:themeColor="hyperlink"/>
      <w:u w:val="single"/>
    </w:rPr>
  </w:style>
  <w:style w:type="character" w:styleId="UnresolvedMention">
    <w:name w:val="Unresolved Mention"/>
    <w:basedOn w:val="DefaultParagraphFont"/>
    <w:uiPriority w:val="99"/>
    <w:semiHidden/>
    <w:unhideWhenUsed/>
    <w:rsid w:val="00CB67E3"/>
    <w:rPr>
      <w:color w:val="605E5C"/>
      <w:shd w:val="clear" w:color="auto" w:fill="E1DFDD"/>
    </w:rPr>
  </w:style>
  <w:style w:type="paragraph" w:styleId="ListParagraph">
    <w:name w:val="List Paragraph"/>
    <w:basedOn w:val="Normal"/>
    <w:uiPriority w:val="34"/>
    <w:qFormat/>
    <w:rsid w:val="006960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730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revor@etuaustralia.org.au" TargetMode="External"/><Relationship Id="rId11" Type="http://schemas.openxmlformats.org/officeDocument/2006/relationships/customXml" Target="../customXml/item3.xml"/><Relationship Id="rId5" Type="http://schemas.openxmlformats.org/officeDocument/2006/relationships/hyperlink" Target="mailto:info@esb.org.au"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911C1E-920E-419D-90B9-6561B57BFA9A}"/>
</file>

<file path=customXml/itemProps2.xml><?xml version="1.0" encoding="utf-8"?>
<ds:datastoreItem xmlns:ds="http://schemas.openxmlformats.org/officeDocument/2006/customXml" ds:itemID="{7B1987A3-4EAE-4233-A6DB-1EABE9AD3B74}"/>
</file>

<file path=customXml/itemProps3.xml><?xml version="1.0" encoding="utf-8"?>
<ds:datastoreItem xmlns:ds="http://schemas.openxmlformats.org/officeDocument/2006/customXml" ds:itemID="{127F48BC-5368-4D67-9BC6-4D3FA5411ECC}"/>
</file>

<file path=docProps/app.xml><?xml version="1.0" encoding="utf-8"?>
<Properties xmlns="http://schemas.openxmlformats.org/officeDocument/2006/extended-properties" xmlns:vt="http://schemas.openxmlformats.org/officeDocument/2006/docPropsVTypes">
  <Template>Normal</Template>
  <TotalTime>2</TotalTime>
  <Pages>4</Pages>
  <Words>1711</Words>
  <Characters>9756</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Gauld</dc:creator>
  <cp:keywords/>
  <dc:description/>
  <cp:lastModifiedBy>Matt Murphy</cp:lastModifiedBy>
  <cp:revision>2</cp:revision>
  <dcterms:created xsi:type="dcterms:W3CDTF">2020-07-28T06:42:00Z</dcterms:created>
  <dcterms:modified xsi:type="dcterms:W3CDTF">2020-07-28T06:42:00Z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