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6CCBDF" w14:textId="77777777" w:rsidR="00561FE5" w:rsidRDefault="00561FE5">
      <w:pPr>
        <w:jc w:val="center"/>
        <w:rPr>
          <w:rFonts w:ascii="Times New Roman" w:hAnsi="Times New Roman"/>
          <w:b/>
          <w:spacing w:val="20"/>
          <w:sz w:val="28"/>
        </w:rPr>
      </w:pPr>
      <w:r>
        <w:rPr>
          <w:rFonts w:ascii="Times New Roman" w:hAnsi="Times New Roman"/>
          <w:b/>
          <w:spacing w:val="20"/>
          <w:sz w:val="28"/>
        </w:rPr>
        <w:t>GEORGE WILKENFELD AND ASSOCIATES</w:t>
      </w:r>
    </w:p>
    <w:p w14:paraId="37D5DA31" w14:textId="3D1AAADB" w:rsidR="00561FE5" w:rsidRDefault="00561FE5">
      <w:pPr>
        <w:jc w:val="center"/>
        <w:rPr>
          <w:rFonts w:ascii="Times New Roman" w:hAnsi="Times New Roman"/>
          <w:spacing w:val="10"/>
          <w:sz w:val="20"/>
        </w:rPr>
      </w:pPr>
      <w:r>
        <w:rPr>
          <w:rFonts w:ascii="Times New Roman" w:hAnsi="Times New Roman"/>
          <w:spacing w:val="10"/>
          <w:sz w:val="20"/>
        </w:rPr>
        <w:t xml:space="preserve">Pty. Ltd. A.B.N. 78 003 846 848 </w:t>
      </w:r>
      <w:r w:rsidR="00FC385D">
        <w:rPr>
          <w:rFonts w:ascii="Times New Roman" w:hAnsi="Times New Roman"/>
          <w:spacing w:val="10"/>
          <w:sz w:val="20"/>
        </w:rPr>
        <w:t xml:space="preserve"> </w:t>
      </w:r>
    </w:p>
    <w:p w14:paraId="22205BC6" w14:textId="77777777" w:rsidR="00561FE5" w:rsidRDefault="00561FE5">
      <w:pPr>
        <w:jc w:val="center"/>
        <w:rPr>
          <w:rFonts w:ascii="Times New Roman" w:hAnsi="Times New Roman"/>
          <w:b/>
          <w:spacing w:val="20"/>
          <w:sz w:val="28"/>
        </w:rPr>
      </w:pPr>
      <w:r>
        <w:rPr>
          <w:rFonts w:ascii="Times New Roman" w:hAnsi="Times New Roman"/>
          <w:b/>
          <w:spacing w:val="20"/>
          <w:sz w:val="28"/>
        </w:rPr>
        <w:t>POLICY AND PLANNING CONSULTANTS</w:t>
      </w:r>
    </w:p>
    <w:p w14:paraId="4E6D89D4" w14:textId="77777777" w:rsidR="00561FE5" w:rsidRDefault="00561FE5">
      <w:pPr>
        <w:jc w:val="center"/>
        <w:rPr>
          <w:rFonts w:ascii="Times New Roman" w:hAnsi="Times New Roman"/>
          <w:b/>
          <w:spacing w:val="20"/>
          <w:sz w:val="28"/>
        </w:rPr>
      </w:pPr>
      <w:r>
        <w:rPr>
          <w:rFonts w:ascii="Times New Roman" w:hAnsi="Times New Roman"/>
          <w:b/>
          <w:spacing w:val="20"/>
          <w:sz w:val="28"/>
        </w:rPr>
        <w:t xml:space="preserve">ENERGY AND WATER </w:t>
      </w:r>
    </w:p>
    <w:p w14:paraId="5B4D6E1E" w14:textId="237BC11C" w:rsidR="00561FE5" w:rsidRPr="00FC385D" w:rsidRDefault="00561FE5">
      <w:pPr>
        <w:jc w:val="center"/>
        <w:rPr>
          <w:rFonts w:ascii="Times New Roman" w:hAnsi="Times New Roman"/>
          <w:szCs w:val="24"/>
        </w:rPr>
      </w:pPr>
      <w:r w:rsidRPr="00FC385D">
        <w:rPr>
          <w:rFonts w:ascii="Times New Roman" w:hAnsi="Times New Roman"/>
          <w:szCs w:val="24"/>
        </w:rPr>
        <w:t>34 Leichhardt St Katoomba NSW 2780 Australia, PO Box 460 Katoomba 2780</w:t>
      </w:r>
    </w:p>
    <w:p w14:paraId="44866883" w14:textId="40CBDC22" w:rsidR="00561FE5" w:rsidRPr="00FC385D" w:rsidRDefault="00561FE5">
      <w:pPr>
        <w:jc w:val="center"/>
        <w:rPr>
          <w:rFonts w:ascii="Times New Roman" w:hAnsi="Times New Roman"/>
          <w:szCs w:val="24"/>
        </w:rPr>
      </w:pPr>
      <w:r w:rsidRPr="00FC385D">
        <w:rPr>
          <w:rFonts w:ascii="Times New Roman" w:hAnsi="Times New Roman"/>
          <w:szCs w:val="24"/>
        </w:rPr>
        <w:t>Sydney (</w:t>
      </w:r>
      <w:r w:rsidR="00FC385D" w:rsidRPr="00FC385D">
        <w:rPr>
          <w:rFonts w:ascii="Times New Roman" w:hAnsi="Times New Roman"/>
          <w:szCs w:val="24"/>
        </w:rPr>
        <w:t>+612</w:t>
      </w:r>
      <w:r w:rsidRPr="00FC385D">
        <w:rPr>
          <w:rFonts w:ascii="Times New Roman" w:hAnsi="Times New Roman"/>
          <w:szCs w:val="24"/>
        </w:rPr>
        <w:t>) 4782 1155</w:t>
      </w:r>
      <w:r w:rsidR="00FC385D" w:rsidRPr="00FC385D">
        <w:rPr>
          <w:rFonts w:ascii="Times New Roman" w:hAnsi="Times New Roman"/>
          <w:spacing w:val="10"/>
          <w:szCs w:val="24"/>
        </w:rPr>
        <w:t xml:space="preserve"> geosanna@ozemail.com.au</w:t>
      </w:r>
    </w:p>
    <w:p w14:paraId="73644DD7" w14:textId="7A434BEC" w:rsidR="00561FE5" w:rsidRDefault="00561FE5"/>
    <w:p w14:paraId="02C4A4E2" w14:textId="039C6FDA" w:rsidR="00FC385D" w:rsidRDefault="00FC385D">
      <w:r>
        <w:tab/>
      </w:r>
      <w:r>
        <w:tab/>
      </w:r>
      <w:r>
        <w:tab/>
      </w:r>
      <w:r>
        <w:tab/>
      </w:r>
      <w:r>
        <w:tab/>
      </w:r>
      <w:r>
        <w:tab/>
      </w:r>
      <w:r>
        <w:tab/>
      </w:r>
      <w:r>
        <w:tab/>
      </w:r>
      <w:r>
        <w:tab/>
        <w:t>3 August 2020</w:t>
      </w:r>
    </w:p>
    <w:p w14:paraId="012D08DB" w14:textId="77777777" w:rsidR="00FC385D" w:rsidRPr="00FC385D" w:rsidRDefault="00FC385D" w:rsidP="00FC385D">
      <w:pPr>
        <w:rPr>
          <w:lang w:val="en-AU"/>
        </w:rPr>
      </w:pPr>
    </w:p>
    <w:p w14:paraId="60B9C6DB" w14:textId="63B1F8EB" w:rsidR="00FC385D" w:rsidRPr="00FC385D" w:rsidRDefault="00FC385D" w:rsidP="00FC385D">
      <w:pPr>
        <w:jc w:val="center"/>
        <w:rPr>
          <w:b/>
          <w:bCs/>
        </w:rPr>
      </w:pPr>
      <w:r w:rsidRPr="00FC385D">
        <w:rPr>
          <w:b/>
          <w:bCs/>
          <w:lang w:val="en-AU"/>
        </w:rPr>
        <w:t xml:space="preserve">Response to Energy Security Board Governance of </w:t>
      </w:r>
      <w:bookmarkStart w:id="0" w:name="_Hlk47361467"/>
      <w:r w:rsidRPr="00FC385D">
        <w:rPr>
          <w:b/>
          <w:bCs/>
          <w:lang w:val="en-AU"/>
        </w:rPr>
        <w:t xml:space="preserve">DER Technical Standards </w:t>
      </w:r>
      <w:bookmarkEnd w:id="0"/>
      <w:r w:rsidRPr="00FC385D">
        <w:rPr>
          <w:b/>
          <w:bCs/>
          <w:lang w:val="en-AU"/>
        </w:rPr>
        <w:t>Consultation Paper</w:t>
      </w:r>
    </w:p>
    <w:p w14:paraId="4AA3331E" w14:textId="5B207488" w:rsidR="00561FE5" w:rsidRDefault="00561FE5"/>
    <w:p w14:paraId="2C18EAEF" w14:textId="38FF4A4C" w:rsidR="00317E88" w:rsidRDefault="00FC385D">
      <w:r>
        <w:t xml:space="preserve">I am making this response </w:t>
      </w:r>
      <w:r w:rsidR="00317E88">
        <w:t>on the basis of long-standing involvement with electrical product standards</w:t>
      </w:r>
      <w:r w:rsidR="001A3223">
        <w:t>,</w:t>
      </w:r>
      <w:r w:rsidR="00317E88">
        <w:t xml:space="preserve"> both for energy efficiency and demand response.   </w:t>
      </w:r>
    </w:p>
    <w:p w14:paraId="4E1FD5EA" w14:textId="77777777" w:rsidR="00317E88" w:rsidRDefault="00317E88"/>
    <w:p w14:paraId="58910915" w14:textId="373ACA32" w:rsidR="00317E88" w:rsidRPr="00317E88" w:rsidRDefault="005E6115" w:rsidP="00317E88">
      <w:pPr>
        <w:rPr>
          <w:lang w:val="en-AU"/>
        </w:rPr>
      </w:pPr>
      <w:r>
        <w:t xml:space="preserve">As </w:t>
      </w:r>
      <w:r w:rsidR="00317E88">
        <w:t xml:space="preserve">one of the original members </w:t>
      </w:r>
      <w:r w:rsidR="00317E88" w:rsidRPr="00317E88">
        <w:rPr>
          <w:lang w:val="en-AU"/>
        </w:rPr>
        <w:t>(and since 201</w:t>
      </w:r>
      <w:r w:rsidR="00317E88">
        <w:rPr>
          <w:lang w:val="en-AU"/>
        </w:rPr>
        <w:t>8</w:t>
      </w:r>
      <w:r w:rsidR="00317E88" w:rsidRPr="00317E88">
        <w:rPr>
          <w:lang w:val="en-AU"/>
        </w:rPr>
        <w:t xml:space="preserve">, chair) of Standards Australia committee EL-054, </w:t>
      </w:r>
      <w:r>
        <w:rPr>
          <w:lang w:val="en-AU"/>
        </w:rPr>
        <w:t xml:space="preserve">established in 2005, I helped draft </w:t>
      </w:r>
      <w:r w:rsidR="00317E88" w:rsidRPr="00317E88">
        <w:rPr>
          <w:lang w:val="en-AU"/>
        </w:rPr>
        <w:t xml:space="preserve">AS/NZS 4755 </w:t>
      </w:r>
      <w:r w:rsidR="00317E88" w:rsidRPr="00317E88">
        <w:rPr>
          <w:i/>
          <w:iCs/>
          <w:lang w:val="en-AU"/>
        </w:rPr>
        <w:t>Demand response capabilities and supporting technologies for electrical products</w:t>
      </w:r>
      <w:r w:rsidR="00317E88" w:rsidRPr="00317E88">
        <w:rPr>
          <w:lang w:val="en-AU"/>
        </w:rPr>
        <w:t>.</w:t>
      </w:r>
    </w:p>
    <w:p w14:paraId="4F1657A6" w14:textId="77777777" w:rsidR="00317E88" w:rsidRPr="00317E88" w:rsidRDefault="00317E88" w:rsidP="00317E88">
      <w:pPr>
        <w:rPr>
          <w:lang w:val="en-AU"/>
        </w:rPr>
      </w:pPr>
    </w:p>
    <w:p w14:paraId="0024121E" w14:textId="34D2285E" w:rsidR="005E6115" w:rsidRDefault="00317E88" w:rsidP="005E6115">
      <w:pPr>
        <w:rPr>
          <w:i/>
          <w:iCs/>
        </w:rPr>
      </w:pPr>
      <w:r>
        <w:rPr>
          <w:lang w:val="en-AU"/>
        </w:rPr>
        <w:t xml:space="preserve">I </w:t>
      </w:r>
      <w:r w:rsidR="005E6115">
        <w:rPr>
          <w:lang w:val="en-AU"/>
        </w:rPr>
        <w:t xml:space="preserve">am </w:t>
      </w:r>
      <w:r>
        <w:rPr>
          <w:lang w:val="en-AU"/>
        </w:rPr>
        <w:t xml:space="preserve">also </w:t>
      </w:r>
      <w:r w:rsidRPr="00317E88">
        <w:rPr>
          <w:lang w:val="en-AU"/>
        </w:rPr>
        <w:t xml:space="preserve">Secretary of </w:t>
      </w:r>
      <w:r>
        <w:rPr>
          <w:lang w:val="en-AU"/>
        </w:rPr>
        <w:t xml:space="preserve">IEC </w:t>
      </w:r>
      <w:r w:rsidRPr="00317E88">
        <w:rPr>
          <w:lang w:val="en-AU"/>
        </w:rPr>
        <w:t>TC</w:t>
      </w:r>
      <w:r w:rsidR="00C07AD0">
        <w:rPr>
          <w:lang w:val="en-AU"/>
        </w:rPr>
        <w:t xml:space="preserve"> </w:t>
      </w:r>
      <w:r w:rsidRPr="00317E88">
        <w:rPr>
          <w:lang w:val="en-AU"/>
        </w:rPr>
        <w:t xml:space="preserve">59 Working Group 15, </w:t>
      </w:r>
      <w:r w:rsidRPr="00317E88">
        <w:rPr>
          <w:i/>
          <w:iCs/>
          <w:lang w:val="en-AU"/>
        </w:rPr>
        <w:t>Connection of household appliances to smart grids and appliances interaction</w:t>
      </w:r>
      <w:r w:rsidR="00C07AD0">
        <w:rPr>
          <w:i/>
          <w:iCs/>
          <w:lang w:val="en-AU"/>
        </w:rPr>
        <w:t>,</w:t>
      </w:r>
      <w:r w:rsidRPr="00317E88">
        <w:rPr>
          <w:lang w:val="en-AU"/>
        </w:rPr>
        <w:t xml:space="preserve"> </w:t>
      </w:r>
      <w:r w:rsidR="005E6115">
        <w:rPr>
          <w:lang w:val="en-AU"/>
        </w:rPr>
        <w:t xml:space="preserve">which </w:t>
      </w:r>
      <w:r>
        <w:rPr>
          <w:lang w:val="en-AU"/>
        </w:rPr>
        <w:t>prepared IEC</w:t>
      </w:r>
      <w:r w:rsidR="0083015F">
        <w:rPr>
          <w:lang w:val="en-AU"/>
        </w:rPr>
        <w:t xml:space="preserve"> </w:t>
      </w:r>
      <w:r>
        <w:rPr>
          <w:lang w:val="en-AU"/>
        </w:rPr>
        <w:t>T</w:t>
      </w:r>
      <w:r w:rsidR="001A3223">
        <w:rPr>
          <w:lang w:val="en-AU"/>
        </w:rPr>
        <w:t xml:space="preserve">echnical Specification </w:t>
      </w:r>
      <w:r>
        <w:rPr>
          <w:lang w:val="en-AU"/>
        </w:rPr>
        <w:t>62950</w:t>
      </w:r>
      <w:r w:rsidR="005E6115">
        <w:rPr>
          <w:lang w:val="en-AU"/>
        </w:rPr>
        <w:t>:201</w:t>
      </w:r>
      <w:r w:rsidR="00C07AD0">
        <w:rPr>
          <w:lang w:val="en-AU"/>
        </w:rPr>
        <w:t>7</w:t>
      </w:r>
      <w:r>
        <w:rPr>
          <w:lang w:val="en-AU"/>
        </w:rPr>
        <w:t xml:space="preserve"> </w:t>
      </w:r>
      <w:r w:rsidR="005E6115" w:rsidRPr="005E6115">
        <w:rPr>
          <w:i/>
          <w:iCs/>
        </w:rPr>
        <w:t>Household and Similar Electrical Appliances – Specifying smart capabilities of appliances and devices – General aspects</w:t>
      </w:r>
      <w:r w:rsidR="005E6115">
        <w:rPr>
          <w:i/>
          <w:iCs/>
        </w:rPr>
        <w:t>.</w:t>
      </w:r>
    </w:p>
    <w:p w14:paraId="5F6E485A" w14:textId="24DA7CE3" w:rsidR="00C07AD0" w:rsidRDefault="00C07AD0" w:rsidP="005E6115">
      <w:pPr>
        <w:rPr>
          <w:i/>
          <w:iCs/>
        </w:rPr>
      </w:pPr>
    </w:p>
    <w:p w14:paraId="6CF5E249" w14:textId="688F5E27" w:rsidR="00C07AD0" w:rsidRPr="00C07AD0" w:rsidRDefault="00C07AD0" w:rsidP="005E6115">
      <w:pPr>
        <w:rPr>
          <w:b/>
          <w:bCs/>
        </w:rPr>
      </w:pPr>
      <w:r w:rsidRPr="00C07AD0">
        <w:t xml:space="preserve">I am </w:t>
      </w:r>
      <w:r>
        <w:t>also very familiar with the Greenhouse and Energy Mini</w:t>
      </w:r>
      <w:r w:rsidR="00D4085B">
        <w:t>mum</w:t>
      </w:r>
      <w:r>
        <w:t xml:space="preserve"> Standards (GEMS) Act, the Equipment Energy Effi</w:t>
      </w:r>
      <w:r w:rsidR="0083015F">
        <w:t>ci</w:t>
      </w:r>
      <w:r>
        <w:t>ency (E3) Program and the process of regulating the performance of electrical pr</w:t>
      </w:r>
      <w:r w:rsidR="00D4085B">
        <w:t>o</w:t>
      </w:r>
      <w:r>
        <w:t>ducts with regard to energy efficiency and, more rece</w:t>
      </w:r>
      <w:r w:rsidR="00D4085B">
        <w:t>n</w:t>
      </w:r>
      <w:r>
        <w:t>tly, demand response capabil</w:t>
      </w:r>
      <w:r w:rsidR="00F32B0B">
        <w:t>i</w:t>
      </w:r>
      <w:r>
        <w:t>ty. GWA prepared the cost-benefit analysis which supported COAG Energy Council’s November 2019 decision to mandate compliance with AS/NZS 4755 for selected products.</w:t>
      </w:r>
      <w:r>
        <w:rPr>
          <w:rStyle w:val="FootnoteReference"/>
        </w:rPr>
        <w:footnoteReference w:id="1"/>
      </w:r>
      <w:r>
        <w:t xml:space="preserve"> </w:t>
      </w:r>
    </w:p>
    <w:p w14:paraId="272D6029" w14:textId="02D7CAB1" w:rsidR="00317E88" w:rsidRPr="00317E88" w:rsidRDefault="00317E88" w:rsidP="00317E88"/>
    <w:p w14:paraId="6D62B479" w14:textId="5E6F8FB1" w:rsidR="005E6115" w:rsidRDefault="00F32B0B">
      <w:r>
        <w:t>T</w:t>
      </w:r>
      <w:r w:rsidR="00D4085B">
        <w:t xml:space="preserve">his </w:t>
      </w:r>
      <w:r w:rsidR="005E6115">
        <w:t>submission represent</w:t>
      </w:r>
      <w:r w:rsidR="00D4085B">
        <w:t>s</w:t>
      </w:r>
      <w:r w:rsidR="005E6115">
        <w:t xml:space="preserve"> only my own views</w:t>
      </w:r>
      <w:r>
        <w:t>, not the positions of any of the bodies or committees with which I am associated.</w:t>
      </w:r>
      <w:r w:rsidR="00D4085B">
        <w:t xml:space="preserve"> </w:t>
      </w:r>
    </w:p>
    <w:p w14:paraId="4FC8F445" w14:textId="3780C923" w:rsidR="005E6115" w:rsidRDefault="005E6115"/>
    <w:p w14:paraId="62B10C78" w14:textId="5D6AF8AE" w:rsidR="00CC6BD0" w:rsidRPr="00D4085B" w:rsidRDefault="00D4085B">
      <w:pPr>
        <w:rPr>
          <w:b/>
          <w:bCs/>
        </w:rPr>
      </w:pPr>
      <w:r w:rsidRPr="00D4085B">
        <w:rPr>
          <w:b/>
          <w:bCs/>
        </w:rPr>
        <w:t>Scope of DER Technical Standards</w:t>
      </w:r>
    </w:p>
    <w:p w14:paraId="31F2484C" w14:textId="77777777" w:rsidR="00CC6BD0" w:rsidRDefault="00CC6BD0"/>
    <w:p w14:paraId="7330AD49" w14:textId="1D8893EC" w:rsidR="005E6115" w:rsidRDefault="00C07AD0">
      <w:r>
        <w:t xml:space="preserve">I </w:t>
      </w:r>
      <w:r w:rsidR="00D4085B">
        <w:t xml:space="preserve">agree with the </w:t>
      </w:r>
      <w:r>
        <w:t>Consultation Paper</w:t>
      </w:r>
      <w:r w:rsidR="00D4085B">
        <w:t>’s defini</w:t>
      </w:r>
      <w:r w:rsidR="000B3EBE">
        <w:t xml:space="preserve">tion </w:t>
      </w:r>
      <w:r w:rsidR="00D4085B">
        <w:t>of DER to include appliances (loads) as well as small-scale energy generation and storage systems:</w:t>
      </w:r>
    </w:p>
    <w:p w14:paraId="3AEC94E2" w14:textId="211878A5" w:rsidR="00D4085B" w:rsidRDefault="00D4085B"/>
    <w:p w14:paraId="42D923EA" w14:textId="298D4686" w:rsidR="00D4085B" w:rsidRDefault="00D4085B" w:rsidP="00D4085B">
      <w:pPr>
        <w:ind w:left="720"/>
      </w:pPr>
      <w:r w:rsidRPr="00D4085B">
        <w:rPr>
          <w:lang w:val="en-AU"/>
        </w:rPr>
        <w:t>Distributed Energy Resources (DER) in Australia currently include millions of distributed air conditioners, hot water systems, pool pumps and an increasing number of other large appliances (load which is or could be flexible), over 2.2 million rooftop photovoltaic (PV) systems, a few thousand small diesel generators and over 24,000 distributed batteries. The transition of the Australian vehicle fleet to electric vehicles will also raise challenges and opportunities for the delivery of energy services</w:t>
      </w:r>
      <w:r w:rsidR="00A602E5">
        <w:rPr>
          <w:lang w:val="en-AU"/>
        </w:rPr>
        <w:t xml:space="preserve"> (p i)</w:t>
      </w:r>
      <w:r w:rsidRPr="00D4085B">
        <w:rPr>
          <w:lang w:val="en-AU"/>
        </w:rPr>
        <w:t>.</w:t>
      </w:r>
    </w:p>
    <w:p w14:paraId="2C11F3E6" w14:textId="47C6977F" w:rsidR="00CC6BD0" w:rsidRDefault="00CC6BD0"/>
    <w:p w14:paraId="1127B952" w14:textId="4DAEA056" w:rsidR="00F01441" w:rsidRDefault="00D4085B">
      <w:pPr>
        <w:rPr>
          <w:lang w:val="en-AU"/>
        </w:rPr>
      </w:pPr>
      <w:r>
        <w:lastRenderedPageBreak/>
        <w:t>However,</w:t>
      </w:r>
      <w:r w:rsidR="00F32B0B">
        <w:t xml:space="preserve"> </w:t>
      </w:r>
      <w:r w:rsidR="001A3223">
        <w:t xml:space="preserve">it seems </w:t>
      </w:r>
      <w:r w:rsidR="00B54CBF">
        <w:t xml:space="preserve">to me </w:t>
      </w:r>
      <w:r w:rsidR="001A3223">
        <w:t xml:space="preserve">that </w:t>
      </w:r>
      <w:r>
        <w:t xml:space="preserve">the </w:t>
      </w:r>
      <w:r w:rsidR="0083015F">
        <w:t>Consultation</w:t>
      </w:r>
      <w:r w:rsidR="00F32B0B">
        <w:t xml:space="preserve"> Paper</w:t>
      </w:r>
      <w:r w:rsidR="001A3223">
        <w:t xml:space="preserve"> and </w:t>
      </w:r>
      <w:r w:rsidR="00F32B0B">
        <w:t xml:space="preserve">the </w:t>
      </w:r>
      <w:r w:rsidR="001A3223">
        <w:t xml:space="preserve">proposed </w:t>
      </w:r>
      <w:r w:rsidR="00F32B0B">
        <w:t xml:space="preserve">structure of the </w:t>
      </w:r>
      <w:r w:rsidR="00F32B0B" w:rsidRPr="00F32B0B">
        <w:rPr>
          <w:lang w:val="en-AU"/>
        </w:rPr>
        <w:t>DER Standards Governance Committee</w:t>
      </w:r>
      <w:r w:rsidR="00F32B0B">
        <w:rPr>
          <w:lang w:val="en-AU"/>
        </w:rPr>
        <w:t xml:space="preserve"> </w:t>
      </w:r>
      <w:r w:rsidR="000258E0">
        <w:rPr>
          <w:lang w:val="en-AU"/>
        </w:rPr>
        <w:t xml:space="preserve">(SER SGC) </w:t>
      </w:r>
      <w:r w:rsidR="00B54CBF">
        <w:rPr>
          <w:lang w:val="en-AU"/>
        </w:rPr>
        <w:t>embody the limiting assumption that DER standards</w:t>
      </w:r>
      <w:r w:rsidR="001A3223">
        <w:rPr>
          <w:lang w:val="en-AU"/>
        </w:rPr>
        <w:t xml:space="preserve"> </w:t>
      </w:r>
      <w:r w:rsidR="00F32B0B">
        <w:rPr>
          <w:lang w:val="en-AU"/>
        </w:rPr>
        <w:t>become effective (both technically and legally) at the point of connection of a product to the network</w:t>
      </w:r>
      <w:r w:rsidR="00343DF6">
        <w:rPr>
          <w:lang w:val="en-AU"/>
        </w:rPr>
        <w:t xml:space="preserve"> </w:t>
      </w:r>
      <w:r w:rsidR="00F32B0B">
        <w:rPr>
          <w:lang w:val="en-AU"/>
        </w:rPr>
        <w:t xml:space="preserve">in Australia. </w:t>
      </w:r>
    </w:p>
    <w:p w14:paraId="7D4A17AE" w14:textId="77777777" w:rsidR="00F01441" w:rsidRDefault="00F01441">
      <w:pPr>
        <w:rPr>
          <w:lang w:val="en-AU"/>
        </w:rPr>
      </w:pPr>
    </w:p>
    <w:p w14:paraId="6497FD34" w14:textId="3B0E0854" w:rsidR="00B54CBF" w:rsidRDefault="00F32B0B">
      <w:pPr>
        <w:rPr>
          <w:lang w:val="en-AU"/>
        </w:rPr>
      </w:pPr>
      <w:r>
        <w:rPr>
          <w:lang w:val="en-AU"/>
        </w:rPr>
        <w:t xml:space="preserve">In fact, DER standards </w:t>
      </w:r>
      <w:r w:rsidR="00B54CBF">
        <w:rPr>
          <w:lang w:val="en-AU"/>
        </w:rPr>
        <w:t xml:space="preserve">impact </w:t>
      </w:r>
      <w:r>
        <w:rPr>
          <w:lang w:val="en-AU"/>
        </w:rPr>
        <w:t xml:space="preserve">well in advance of the design of a product (or its redesign in accordance with regular model update cycles). </w:t>
      </w:r>
      <w:r w:rsidR="00B54CBF">
        <w:rPr>
          <w:lang w:val="en-AU"/>
        </w:rPr>
        <w:t xml:space="preserve">In fact, design standards may be the only effective lever. </w:t>
      </w:r>
      <w:r w:rsidR="00534B58">
        <w:rPr>
          <w:lang w:val="en-AU"/>
        </w:rPr>
        <w:t>P</w:t>
      </w:r>
      <w:r>
        <w:rPr>
          <w:lang w:val="en-AU"/>
        </w:rPr>
        <w:t>roducts such as air conditioners and pool pump</w:t>
      </w:r>
      <w:r w:rsidR="00534B58">
        <w:rPr>
          <w:lang w:val="en-AU"/>
        </w:rPr>
        <w:t xml:space="preserve"> controllers</w:t>
      </w:r>
      <w:r>
        <w:rPr>
          <w:lang w:val="en-AU"/>
        </w:rPr>
        <w:t xml:space="preserve"> may never be</w:t>
      </w:r>
      <w:r w:rsidR="00343DF6">
        <w:rPr>
          <w:lang w:val="en-AU"/>
        </w:rPr>
        <w:t xml:space="preserve"> hard-wired to the network </w:t>
      </w:r>
      <w:r w:rsidR="00534B58">
        <w:rPr>
          <w:lang w:val="en-AU"/>
        </w:rPr>
        <w:t xml:space="preserve">or professionally installed </w:t>
      </w:r>
      <w:r w:rsidR="00343DF6">
        <w:rPr>
          <w:lang w:val="en-AU"/>
        </w:rPr>
        <w:t>but simply plugged in</w:t>
      </w:r>
      <w:r w:rsidR="00534B58">
        <w:rPr>
          <w:lang w:val="en-AU"/>
        </w:rPr>
        <w:t xml:space="preserve"> by the user</w:t>
      </w:r>
      <w:r w:rsidR="00B54CBF">
        <w:rPr>
          <w:lang w:val="en-AU"/>
        </w:rPr>
        <w:t>, and so bypass connection rules</w:t>
      </w:r>
      <w:r w:rsidR="00343DF6">
        <w:rPr>
          <w:lang w:val="en-AU"/>
        </w:rPr>
        <w:t xml:space="preserve">. </w:t>
      </w:r>
      <w:r w:rsidR="00B54CBF">
        <w:rPr>
          <w:lang w:val="en-AU"/>
        </w:rPr>
        <w:t xml:space="preserve">The inadequacy of network connection rules alone for enforcing compliance with </w:t>
      </w:r>
      <w:r w:rsidR="0007040F">
        <w:rPr>
          <w:lang w:val="en-AU"/>
        </w:rPr>
        <w:t xml:space="preserve">product </w:t>
      </w:r>
      <w:r w:rsidR="00B54CBF">
        <w:rPr>
          <w:lang w:val="en-AU"/>
        </w:rPr>
        <w:t xml:space="preserve">standards has been </w:t>
      </w:r>
      <w:r w:rsidR="0007040F">
        <w:rPr>
          <w:lang w:val="en-AU"/>
        </w:rPr>
        <w:t xml:space="preserve">well </w:t>
      </w:r>
      <w:r w:rsidR="00B54CBF">
        <w:rPr>
          <w:lang w:val="en-AU"/>
        </w:rPr>
        <w:t>documented in the case of the WaterMark scheme for plumbing products.</w:t>
      </w:r>
      <w:r w:rsidR="00B54CBF">
        <w:rPr>
          <w:rStyle w:val="FootnoteReference"/>
          <w:lang w:val="en-AU"/>
        </w:rPr>
        <w:footnoteReference w:id="2"/>
      </w:r>
      <w:r w:rsidR="00B54CBF">
        <w:rPr>
          <w:lang w:val="en-AU"/>
        </w:rPr>
        <w:t xml:space="preserve"> </w:t>
      </w:r>
    </w:p>
    <w:p w14:paraId="77A5FF04" w14:textId="77777777" w:rsidR="00B54CBF" w:rsidRDefault="00B54CBF">
      <w:pPr>
        <w:rPr>
          <w:lang w:val="en-AU"/>
        </w:rPr>
      </w:pPr>
    </w:p>
    <w:p w14:paraId="0C9B193E" w14:textId="45A4E71A" w:rsidR="00F32B0B" w:rsidRDefault="00343DF6">
      <w:pPr>
        <w:rPr>
          <w:lang w:val="en-AU"/>
        </w:rPr>
      </w:pPr>
      <w:r>
        <w:rPr>
          <w:lang w:val="en-AU"/>
        </w:rPr>
        <w:t>T</w:t>
      </w:r>
      <w:r w:rsidR="00534B58">
        <w:rPr>
          <w:lang w:val="en-AU"/>
        </w:rPr>
        <w:t xml:space="preserve">echnical </w:t>
      </w:r>
      <w:r w:rsidR="00F01441">
        <w:rPr>
          <w:lang w:val="en-AU"/>
        </w:rPr>
        <w:t xml:space="preserve">standards need to be published </w:t>
      </w:r>
      <w:r w:rsidR="00B54CBF">
        <w:rPr>
          <w:lang w:val="en-AU"/>
        </w:rPr>
        <w:t xml:space="preserve">and publicised </w:t>
      </w:r>
      <w:r w:rsidR="00F01441">
        <w:rPr>
          <w:lang w:val="en-AU"/>
        </w:rPr>
        <w:t>well in advance t</w:t>
      </w:r>
      <w:r w:rsidR="00534B58">
        <w:rPr>
          <w:lang w:val="en-AU"/>
        </w:rPr>
        <w:t>o</w:t>
      </w:r>
      <w:r w:rsidR="00F01441">
        <w:rPr>
          <w:lang w:val="en-AU"/>
        </w:rPr>
        <w:t xml:space="preserve"> permit the design chain to adapt – specially for globally traded products such as air conditioners, pump controllers and EV chargers</w:t>
      </w:r>
      <w:r w:rsidR="00B54CBF">
        <w:rPr>
          <w:lang w:val="en-AU"/>
        </w:rPr>
        <w:t>.</w:t>
      </w:r>
      <w:r w:rsidR="00F01441">
        <w:rPr>
          <w:lang w:val="en-AU"/>
        </w:rPr>
        <w:t xml:space="preserve"> </w:t>
      </w:r>
      <w:r w:rsidR="00B54CBF">
        <w:rPr>
          <w:lang w:val="en-AU"/>
        </w:rPr>
        <w:t>T</w:t>
      </w:r>
      <w:r w:rsidR="00F01441">
        <w:rPr>
          <w:lang w:val="en-AU"/>
        </w:rPr>
        <w:t xml:space="preserve">he </w:t>
      </w:r>
      <w:r>
        <w:rPr>
          <w:lang w:val="en-AU"/>
        </w:rPr>
        <w:t xml:space="preserve">most effective legal point of standards enforcement </w:t>
      </w:r>
      <w:r w:rsidR="00F01441">
        <w:rPr>
          <w:lang w:val="en-AU"/>
        </w:rPr>
        <w:t xml:space="preserve">may be the </w:t>
      </w:r>
      <w:r>
        <w:rPr>
          <w:lang w:val="en-AU"/>
        </w:rPr>
        <w:t xml:space="preserve">point of supply, not the point of connection.  </w:t>
      </w:r>
    </w:p>
    <w:p w14:paraId="44DFAE53" w14:textId="4C21FCD5" w:rsidR="00F32B0B" w:rsidRDefault="00F32B0B">
      <w:pPr>
        <w:rPr>
          <w:lang w:val="en-AU"/>
        </w:rPr>
      </w:pPr>
    </w:p>
    <w:p w14:paraId="4EED5CE8" w14:textId="0FAAA0B1" w:rsidR="00F01441" w:rsidRDefault="00F01441">
      <w:pPr>
        <w:rPr>
          <w:lang w:val="en-AU"/>
        </w:rPr>
      </w:pPr>
      <w:r>
        <w:rPr>
          <w:lang w:val="en-AU"/>
        </w:rPr>
        <w:t>The Energy Effi</w:t>
      </w:r>
      <w:r w:rsidR="000B3EBE">
        <w:rPr>
          <w:lang w:val="en-AU"/>
        </w:rPr>
        <w:t>ci</w:t>
      </w:r>
      <w:r>
        <w:rPr>
          <w:lang w:val="en-AU"/>
        </w:rPr>
        <w:t xml:space="preserve">ency </w:t>
      </w:r>
      <w:r w:rsidR="0083015F">
        <w:rPr>
          <w:lang w:val="en-AU"/>
        </w:rPr>
        <w:t>Advisory</w:t>
      </w:r>
      <w:r>
        <w:rPr>
          <w:lang w:val="en-AU"/>
        </w:rPr>
        <w:t xml:space="preserve"> Team (EEAT)</w:t>
      </w:r>
      <w:r w:rsidR="000B3EBE">
        <w:rPr>
          <w:lang w:val="en-AU"/>
        </w:rPr>
        <w:t>, c</w:t>
      </w:r>
      <w:r>
        <w:rPr>
          <w:lang w:val="en-AU"/>
        </w:rPr>
        <w:t>ompri</w:t>
      </w:r>
      <w:r w:rsidR="000B3EBE">
        <w:rPr>
          <w:lang w:val="en-AU"/>
        </w:rPr>
        <w:t xml:space="preserve">sing the </w:t>
      </w:r>
      <w:r>
        <w:rPr>
          <w:lang w:val="en-AU"/>
        </w:rPr>
        <w:t xml:space="preserve">jurisdictions which </w:t>
      </w:r>
      <w:r w:rsidR="000B3EBE">
        <w:rPr>
          <w:lang w:val="en-AU"/>
        </w:rPr>
        <w:t xml:space="preserve">manage the </w:t>
      </w:r>
      <w:r>
        <w:rPr>
          <w:lang w:val="en-AU"/>
        </w:rPr>
        <w:t xml:space="preserve">E3 Program </w:t>
      </w:r>
      <w:r w:rsidR="000B3EBE">
        <w:rPr>
          <w:lang w:val="en-AU"/>
        </w:rPr>
        <w:t>u</w:t>
      </w:r>
      <w:r>
        <w:rPr>
          <w:lang w:val="en-AU"/>
        </w:rPr>
        <w:t xml:space="preserve">nder </w:t>
      </w:r>
      <w:r w:rsidR="000B3EBE">
        <w:rPr>
          <w:lang w:val="en-AU"/>
        </w:rPr>
        <w:t>Intergovernmental A</w:t>
      </w:r>
      <w:r>
        <w:rPr>
          <w:lang w:val="en-AU"/>
        </w:rPr>
        <w:t>greement</w:t>
      </w:r>
      <w:r w:rsidR="000B3EBE">
        <w:rPr>
          <w:lang w:val="en-AU"/>
        </w:rPr>
        <w:t>s</w:t>
      </w:r>
      <w:r w:rsidR="000B3EBE">
        <w:rPr>
          <w:rStyle w:val="FootnoteReference"/>
          <w:lang w:val="en-AU"/>
        </w:rPr>
        <w:footnoteReference w:id="3"/>
      </w:r>
      <w:r>
        <w:rPr>
          <w:lang w:val="en-AU"/>
        </w:rPr>
        <w:t xml:space="preserve"> is experienced in man</w:t>
      </w:r>
      <w:r w:rsidR="001A3223">
        <w:rPr>
          <w:lang w:val="en-AU"/>
        </w:rPr>
        <w:t>a</w:t>
      </w:r>
      <w:r>
        <w:rPr>
          <w:lang w:val="en-AU"/>
        </w:rPr>
        <w:t>ging the issues</w:t>
      </w:r>
      <w:r w:rsidR="000B3EBE">
        <w:rPr>
          <w:lang w:val="en-AU"/>
        </w:rPr>
        <w:t xml:space="preserve"> of mandatory performance standards at the point of product supply, and should have a formal role in the proposed </w:t>
      </w:r>
      <w:r w:rsidR="000B3EBE" w:rsidRPr="000B3EBE">
        <w:rPr>
          <w:lang w:val="en-AU"/>
        </w:rPr>
        <w:t>DER Standards Governance Committee</w:t>
      </w:r>
      <w:r w:rsidR="000B3EBE">
        <w:rPr>
          <w:lang w:val="en-AU"/>
        </w:rPr>
        <w:t>.</w:t>
      </w:r>
      <w:r>
        <w:rPr>
          <w:lang w:val="en-AU"/>
        </w:rPr>
        <w:t xml:space="preserve"> </w:t>
      </w:r>
    </w:p>
    <w:p w14:paraId="66D030C9" w14:textId="716C8FFE" w:rsidR="00F01441" w:rsidRDefault="00F01441">
      <w:pPr>
        <w:rPr>
          <w:lang w:val="en-AU"/>
        </w:rPr>
      </w:pPr>
    </w:p>
    <w:p w14:paraId="5958ACEE" w14:textId="06606B92" w:rsidR="00A602E5" w:rsidRDefault="000B3EBE">
      <w:pPr>
        <w:rPr>
          <w:lang w:val="en-AU"/>
        </w:rPr>
      </w:pPr>
      <w:r>
        <w:rPr>
          <w:lang w:val="en-AU"/>
        </w:rPr>
        <w:t xml:space="preserve">I note that the Sapere/Cutler Merz review of </w:t>
      </w:r>
      <w:r w:rsidR="00A602E5">
        <w:rPr>
          <w:lang w:val="en-AU"/>
        </w:rPr>
        <w:t xml:space="preserve">seven </w:t>
      </w:r>
      <w:r>
        <w:rPr>
          <w:lang w:val="en-AU"/>
        </w:rPr>
        <w:t xml:space="preserve">current </w:t>
      </w:r>
      <w:r w:rsidR="00A602E5">
        <w:rPr>
          <w:lang w:val="en-AU"/>
        </w:rPr>
        <w:t>“</w:t>
      </w:r>
      <w:r>
        <w:rPr>
          <w:lang w:val="en-AU"/>
        </w:rPr>
        <w:t>governance arrangements</w:t>
      </w:r>
      <w:r w:rsidR="00A602E5">
        <w:rPr>
          <w:lang w:val="en-AU"/>
        </w:rPr>
        <w:t>”</w:t>
      </w:r>
      <w:r>
        <w:rPr>
          <w:lang w:val="en-AU"/>
        </w:rPr>
        <w:t xml:space="preserve"> con</w:t>
      </w:r>
      <w:r w:rsidR="00A602E5">
        <w:rPr>
          <w:lang w:val="en-AU"/>
        </w:rPr>
        <w:t xml:space="preserve">cluded that: </w:t>
      </w:r>
    </w:p>
    <w:p w14:paraId="204A62E4" w14:textId="77777777" w:rsidR="00A602E5" w:rsidRDefault="00A602E5">
      <w:pPr>
        <w:rPr>
          <w:lang w:val="en-AU"/>
        </w:rPr>
      </w:pPr>
    </w:p>
    <w:p w14:paraId="22316B44" w14:textId="77777777" w:rsidR="00A602E5" w:rsidRPr="00A602E5" w:rsidRDefault="00A602E5" w:rsidP="00A602E5">
      <w:pPr>
        <w:ind w:left="720"/>
        <w:rPr>
          <w:lang w:val="en-AU"/>
        </w:rPr>
      </w:pPr>
      <w:r w:rsidRPr="00A602E5">
        <w:rPr>
          <w:lang w:val="en-AU"/>
        </w:rPr>
        <w:t xml:space="preserve">The strengths of the GEMS Act are its legislative support and stakeholder participation. </w:t>
      </w:r>
    </w:p>
    <w:p w14:paraId="235B054B" w14:textId="2BD74A2A" w:rsidR="00A602E5" w:rsidRDefault="00A602E5" w:rsidP="00A602E5">
      <w:pPr>
        <w:ind w:left="720"/>
        <w:rPr>
          <w:lang w:val="en-AU"/>
        </w:rPr>
      </w:pPr>
      <w:r w:rsidRPr="00A602E5">
        <w:rPr>
          <w:lang w:val="en-AU"/>
        </w:rPr>
        <w:t>The key weaknesses are in its coverage of technologies and technical risks which would require amendments in legislation to expand</w:t>
      </w:r>
      <w:r>
        <w:rPr>
          <w:lang w:val="en-AU"/>
        </w:rPr>
        <w:t xml:space="preserve"> (p 67). </w:t>
      </w:r>
    </w:p>
    <w:p w14:paraId="34403E3D" w14:textId="77777777" w:rsidR="00A602E5" w:rsidRDefault="00A602E5" w:rsidP="00A602E5">
      <w:pPr>
        <w:rPr>
          <w:lang w:val="en-AU"/>
        </w:rPr>
      </w:pPr>
    </w:p>
    <w:p w14:paraId="6CDCE700" w14:textId="47407CD6" w:rsidR="000B3EBE" w:rsidRDefault="00A602E5" w:rsidP="00A602E5">
      <w:pPr>
        <w:rPr>
          <w:lang w:val="en-AU"/>
        </w:rPr>
      </w:pPr>
      <w:r>
        <w:rPr>
          <w:lang w:val="en-AU"/>
        </w:rPr>
        <w:t xml:space="preserve">However, this assessment failed to appreciate that the GEMS Act is currently </w:t>
      </w:r>
      <w:r w:rsidR="00700B87">
        <w:rPr>
          <w:lang w:val="en-AU"/>
        </w:rPr>
        <w:t xml:space="preserve">one of the few </w:t>
      </w:r>
      <w:r>
        <w:rPr>
          <w:lang w:val="en-AU"/>
        </w:rPr>
        <w:t xml:space="preserve">governance </w:t>
      </w:r>
      <w:r w:rsidR="0083015F">
        <w:rPr>
          <w:lang w:val="en-AU"/>
        </w:rPr>
        <w:t>arrangements</w:t>
      </w:r>
      <w:r>
        <w:rPr>
          <w:lang w:val="en-AU"/>
        </w:rPr>
        <w:t xml:space="preserve"> </w:t>
      </w:r>
      <w:r w:rsidR="00700B87">
        <w:rPr>
          <w:lang w:val="en-AU"/>
        </w:rPr>
        <w:t xml:space="preserve">to </w:t>
      </w:r>
      <w:r>
        <w:rPr>
          <w:lang w:val="en-AU"/>
        </w:rPr>
        <w:t xml:space="preserve">ensure </w:t>
      </w:r>
      <w:r w:rsidR="00700B87">
        <w:rPr>
          <w:lang w:val="en-AU"/>
        </w:rPr>
        <w:t xml:space="preserve">uniform </w:t>
      </w:r>
      <w:r>
        <w:rPr>
          <w:lang w:val="en-AU"/>
        </w:rPr>
        <w:t xml:space="preserve">nationwide mandatory </w:t>
      </w:r>
      <w:r w:rsidR="00700B87">
        <w:rPr>
          <w:lang w:val="en-AU"/>
        </w:rPr>
        <w:t xml:space="preserve">application of technical standards </w:t>
      </w:r>
      <w:r>
        <w:rPr>
          <w:lang w:val="en-AU"/>
        </w:rPr>
        <w:t xml:space="preserve">at </w:t>
      </w:r>
      <w:r w:rsidR="00700B87">
        <w:rPr>
          <w:lang w:val="en-AU"/>
        </w:rPr>
        <w:t xml:space="preserve">the </w:t>
      </w:r>
      <w:r>
        <w:rPr>
          <w:lang w:val="en-AU"/>
        </w:rPr>
        <w:t>point of product supply</w:t>
      </w:r>
      <w:r w:rsidR="00700B87">
        <w:rPr>
          <w:lang w:val="en-AU"/>
        </w:rPr>
        <w:t xml:space="preserve"> </w:t>
      </w:r>
      <w:r>
        <w:rPr>
          <w:lang w:val="en-AU"/>
        </w:rPr>
        <w:t>(</w:t>
      </w:r>
      <w:r w:rsidR="00DE1336">
        <w:rPr>
          <w:lang w:val="en-AU"/>
        </w:rPr>
        <w:t xml:space="preserve">without the harmonisation issues of </w:t>
      </w:r>
      <w:r>
        <w:rPr>
          <w:lang w:val="en-AU"/>
        </w:rPr>
        <w:t>state based regimes)</w:t>
      </w:r>
      <w:r w:rsidR="00DE1336">
        <w:rPr>
          <w:lang w:val="en-AU"/>
        </w:rPr>
        <w:t xml:space="preserve">. GEMS Act determinations can already extend to demand response </w:t>
      </w:r>
      <w:r w:rsidR="00700B87">
        <w:rPr>
          <w:lang w:val="en-AU"/>
        </w:rPr>
        <w:t xml:space="preserve">requirements </w:t>
      </w:r>
      <w:r w:rsidR="00DE1336">
        <w:rPr>
          <w:lang w:val="en-AU"/>
        </w:rPr>
        <w:t>for products regulated for energy effi</w:t>
      </w:r>
      <w:r w:rsidR="00700B87">
        <w:rPr>
          <w:lang w:val="en-AU"/>
        </w:rPr>
        <w:t>ci</w:t>
      </w:r>
      <w:r w:rsidR="00DE1336">
        <w:rPr>
          <w:lang w:val="en-AU"/>
        </w:rPr>
        <w:t xml:space="preserve">ency (e.g. air </w:t>
      </w:r>
      <w:r w:rsidR="0083015F">
        <w:rPr>
          <w:lang w:val="en-AU"/>
        </w:rPr>
        <w:t>conditioners</w:t>
      </w:r>
      <w:r w:rsidR="00DE1336">
        <w:rPr>
          <w:lang w:val="en-AU"/>
        </w:rPr>
        <w:t xml:space="preserve"> and water heaters) and a recent i</w:t>
      </w:r>
      <w:r w:rsidR="00700B87">
        <w:rPr>
          <w:lang w:val="en-AU"/>
        </w:rPr>
        <w:t>n</w:t>
      </w:r>
      <w:r w:rsidR="00DE1336">
        <w:rPr>
          <w:lang w:val="en-AU"/>
        </w:rPr>
        <w:t>dependent review of the Act</w:t>
      </w:r>
      <w:r w:rsidR="00700B87">
        <w:rPr>
          <w:lang w:val="en-AU"/>
        </w:rPr>
        <w:t xml:space="preserve"> recommended that this become a general power:</w:t>
      </w:r>
      <w:r w:rsidR="00DE1336">
        <w:rPr>
          <w:lang w:val="en-AU"/>
        </w:rPr>
        <w:t xml:space="preserve"> </w:t>
      </w:r>
    </w:p>
    <w:p w14:paraId="6F81F246" w14:textId="67385B0B" w:rsidR="00DE1336" w:rsidRDefault="00DE1336" w:rsidP="00A602E5">
      <w:pPr>
        <w:rPr>
          <w:lang w:val="en-AU"/>
        </w:rPr>
      </w:pPr>
    </w:p>
    <w:p w14:paraId="78099952" w14:textId="67679A9E" w:rsidR="00DE1336" w:rsidRPr="00700B87" w:rsidRDefault="00DE1336" w:rsidP="00DE1336">
      <w:pPr>
        <w:ind w:left="720"/>
        <w:rPr>
          <w:lang w:val="en-AU"/>
        </w:rPr>
      </w:pPr>
      <w:r w:rsidRPr="00DE1336">
        <w:rPr>
          <w:lang w:val="en-AU"/>
        </w:rPr>
        <w:t>RECOMMENDATION 38</w:t>
      </w:r>
      <w:r w:rsidR="00700B87">
        <w:rPr>
          <w:lang w:val="en-AU"/>
        </w:rPr>
        <w:t xml:space="preserve">: </w:t>
      </w:r>
      <w:r w:rsidRPr="00700B87">
        <w:rPr>
          <w:lang w:val="en-AU"/>
        </w:rPr>
        <w:t>The Commonwealth Government update the GEMS Act to allow for mandatory demand response capability.</w:t>
      </w:r>
      <w:r w:rsidR="00700B87">
        <w:rPr>
          <w:rStyle w:val="FootnoteReference"/>
          <w:lang w:val="en-AU"/>
        </w:rPr>
        <w:footnoteReference w:id="4"/>
      </w:r>
    </w:p>
    <w:p w14:paraId="1CD7B2AE" w14:textId="77777777" w:rsidR="00DE1336" w:rsidRDefault="00DE1336" w:rsidP="00A602E5">
      <w:pPr>
        <w:rPr>
          <w:lang w:val="en-AU"/>
        </w:rPr>
      </w:pPr>
    </w:p>
    <w:p w14:paraId="03CB99C9" w14:textId="4BE0B9B8" w:rsidR="00700B87" w:rsidRPr="00700B87" w:rsidRDefault="00343DF6" w:rsidP="00700B87">
      <w:pPr>
        <w:rPr>
          <w:b/>
          <w:bCs/>
        </w:rPr>
      </w:pPr>
      <w:r>
        <w:rPr>
          <w:lang w:val="en-AU"/>
        </w:rPr>
        <w:t>The</w:t>
      </w:r>
      <w:r w:rsidR="00700B87">
        <w:rPr>
          <w:lang w:val="en-AU"/>
        </w:rPr>
        <w:t xml:space="preserve">refore the </w:t>
      </w:r>
      <w:r w:rsidR="00700B87" w:rsidRPr="00700B87">
        <w:rPr>
          <w:lang w:val="en-AU"/>
        </w:rPr>
        <w:t>Sapere/Cutler Merz</w:t>
      </w:r>
      <w:r>
        <w:rPr>
          <w:lang w:val="en-AU"/>
        </w:rPr>
        <w:t xml:space="preserve"> </w:t>
      </w:r>
      <w:r w:rsidR="00700B87">
        <w:rPr>
          <w:lang w:val="en-AU"/>
        </w:rPr>
        <w:t xml:space="preserve">review under-estimated the potential of the GEMS Act and the E3 program to support DER technical standards and over-stated the </w:t>
      </w:r>
      <w:r w:rsidR="00700B87">
        <w:rPr>
          <w:lang w:val="en-AU"/>
        </w:rPr>
        <w:lastRenderedPageBreak/>
        <w:t>limitations, which are in the process of being addressed.</w:t>
      </w:r>
      <w:r>
        <w:rPr>
          <w:lang w:val="en-AU"/>
        </w:rPr>
        <w:t xml:space="preserve"> </w:t>
      </w:r>
      <w:r w:rsidR="00700B87" w:rsidRPr="00700B87">
        <w:rPr>
          <w:lang w:val="en-AU"/>
        </w:rPr>
        <w:t xml:space="preserve">Similarly, the DER Technical Standards Consultation Paper overlooks the </w:t>
      </w:r>
      <w:r w:rsidR="00700B87">
        <w:rPr>
          <w:lang w:val="en-AU"/>
        </w:rPr>
        <w:t xml:space="preserve">potential for the </w:t>
      </w:r>
      <w:r w:rsidR="00700B87" w:rsidRPr="00700B87">
        <w:rPr>
          <w:lang w:val="en-AU"/>
        </w:rPr>
        <w:t>GEMS Act and the E3 program</w:t>
      </w:r>
      <w:r w:rsidR="00700B87">
        <w:rPr>
          <w:lang w:val="en-AU"/>
        </w:rPr>
        <w:t xml:space="preserve"> to be central supports for DER te</w:t>
      </w:r>
      <w:r w:rsidR="0007040F">
        <w:rPr>
          <w:lang w:val="en-AU"/>
        </w:rPr>
        <w:t>c</w:t>
      </w:r>
      <w:r w:rsidR="000258E0">
        <w:rPr>
          <w:lang w:val="en-AU"/>
        </w:rPr>
        <w:t>h</w:t>
      </w:r>
      <w:r w:rsidR="00700B87">
        <w:rPr>
          <w:lang w:val="en-AU"/>
        </w:rPr>
        <w:t xml:space="preserve">nical standards.  </w:t>
      </w:r>
    </w:p>
    <w:p w14:paraId="3206A9E1" w14:textId="34D7713D" w:rsidR="00343DF6" w:rsidRDefault="00343DF6">
      <w:pPr>
        <w:rPr>
          <w:lang w:val="en-AU"/>
        </w:rPr>
      </w:pPr>
    </w:p>
    <w:p w14:paraId="28AEADEB" w14:textId="0B270176" w:rsidR="00CC6BD0" w:rsidRPr="0007040F" w:rsidRDefault="00CC6BD0">
      <w:pPr>
        <w:rPr>
          <w:b/>
          <w:bCs/>
        </w:rPr>
      </w:pPr>
      <w:r w:rsidRPr="0007040F">
        <w:rPr>
          <w:b/>
          <w:bCs/>
        </w:rPr>
        <w:t>Timing</w:t>
      </w:r>
      <w:r w:rsidR="00D4085B" w:rsidRPr="0007040F">
        <w:rPr>
          <w:b/>
          <w:bCs/>
        </w:rPr>
        <w:t xml:space="preserve"> and Delay </w:t>
      </w:r>
    </w:p>
    <w:p w14:paraId="16BC60B7" w14:textId="53D712FD" w:rsidR="00CC6BD0" w:rsidRDefault="00CC6BD0"/>
    <w:p w14:paraId="4F7896C7" w14:textId="477C7CBB" w:rsidR="00561FE5" w:rsidRDefault="0007040F">
      <w:r>
        <w:t xml:space="preserve">From the ESB webconference of 21 July, I note that the earliest likely time for constitution of a </w:t>
      </w:r>
      <w:r w:rsidRPr="0007040F">
        <w:t xml:space="preserve">DER </w:t>
      </w:r>
      <w:r w:rsidR="0083015F">
        <w:t>SGC</w:t>
      </w:r>
      <w:r>
        <w:t>, after COAG Energy Council decisions and rul</w:t>
      </w:r>
      <w:r w:rsidR="00561FE5">
        <w:t>e</w:t>
      </w:r>
      <w:r>
        <w:t xml:space="preserve"> cha</w:t>
      </w:r>
      <w:r w:rsidR="00561FE5">
        <w:t>n</w:t>
      </w:r>
      <w:r>
        <w:t>ges, is Augu</w:t>
      </w:r>
      <w:r w:rsidR="00561FE5">
        <w:t>s</w:t>
      </w:r>
      <w:r>
        <w:t xml:space="preserve">t 2021, i.e. a year from now. </w:t>
      </w:r>
      <w:r w:rsidR="00561FE5">
        <w:t>I</w:t>
      </w:r>
      <w:r w:rsidR="00777EFA">
        <w:t>t</w:t>
      </w:r>
      <w:r w:rsidR="00561FE5">
        <w:t xml:space="preserve"> will then </w:t>
      </w:r>
      <w:r w:rsidR="00777EFA">
        <w:t>take</w:t>
      </w:r>
      <w:r w:rsidR="00561FE5">
        <w:t xml:space="preserve"> </w:t>
      </w:r>
      <w:r w:rsidR="00777EFA">
        <w:t>some</w:t>
      </w:r>
      <w:r w:rsidR="00561FE5">
        <w:t xml:space="preserve"> time for the Committee to start addressing its terms of reference. </w:t>
      </w:r>
    </w:p>
    <w:p w14:paraId="23F0DE43" w14:textId="77777777" w:rsidR="00561FE5" w:rsidRDefault="00561FE5"/>
    <w:p w14:paraId="64765D79" w14:textId="229DDF72" w:rsidR="000258E0" w:rsidRDefault="00561FE5">
      <w:r>
        <w:t xml:space="preserve">This should not be taken as a reason to interrupt existing processes with regard to DER standards or delay their adoption under currently available mechanisms. Indeed, </w:t>
      </w:r>
      <w:r w:rsidR="00777EFA">
        <w:t xml:space="preserve">introducing further delay </w:t>
      </w:r>
      <w:r>
        <w:t xml:space="preserve">would run counter to one of the most common criticisms of the present governance arrangements: that they take too long. </w:t>
      </w:r>
    </w:p>
    <w:p w14:paraId="37EFD922" w14:textId="77777777" w:rsidR="000258E0" w:rsidRDefault="000258E0"/>
    <w:p w14:paraId="59836836" w14:textId="7F743519" w:rsidR="00CC6BD0" w:rsidRDefault="00561FE5">
      <w:pPr>
        <w:rPr>
          <w:lang w:val="en-AU"/>
        </w:rPr>
      </w:pPr>
      <w:r>
        <w:t xml:space="preserve">I note that the Consultation Paper recognises </w:t>
      </w:r>
      <w:r w:rsidR="00777EFA">
        <w:t xml:space="preserve">the </w:t>
      </w:r>
      <w:r>
        <w:t>AEMO rule change request for the development of an initial DER technical standard as a parallel process that may come withi</w:t>
      </w:r>
      <w:r w:rsidR="000258E0">
        <w:t>n</w:t>
      </w:r>
      <w:r>
        <w:t xml:space="preserve"> the scope of the </w:t>
      </w:r>
      <w:r w:rsidR="000258E0">
        <w:t xml:space="preserve">proposed </w:t>
      </w:r>
      <w:r w:rsidR="000258E0" w:rsidRPr="000258E0">
        <w:rPr>
          <w:lang w:val="en-AU"/>
        </w:rPr>
        <w:t>DER Standards Governance Committee</w:t>
      </w:r>
      <w:r w:rsidR="000258E0">
        <w:rPr>
          <w:lang w:val="en-AU"/>
        </w:rPr>
        <w:t xml:space="preserve"> at some future time. The same principl</w:t>
      </w:r>
      <w:r w:rsidR="0055759C">
        <w:rPr>
          <w:lang w:val="en-AU"/>
        </w:rPr>
        <w:t>e</w:t>
      </w:r>
      <w:r w:rsidR="000258E0">
        <w:rPr>
          <w:lang w:val="en-AU"/>
        </w:rPr>
        <w:t xml:space="preserve"> should be applied to AS/NZS 4755, noting that:</w:t>
      </w:r>
    </w:p>
    <w:p w14:paraId="1CBC8E7B" w14:textId="08B2CAF8" w:rsidR="000258E0" w:rsidRDefault="000258E0">
      <w:pPr>
        <w:rPr>
          <w:lang w:val="en-AU"/>
        </w:rPr>
      </w:pPr>
    </w:p>
    <w:p w14:paraId="1E607344" w14:textId="4E1B78D2" w:rsidR="000258E0" w:rsidRPr="0055759C" w:rsidRDefault="000258E0" w:rsidP="0055759C">
      <w:pPr>
        <w:pStyle w:val="ListParagraph"/>
        <w:numPr>
          <w:ilvl w:val="0"/>
          <w:numId w:val="2"/>
        </w:numPr>
        <w:rPr>
          <w:lang w:val="en-AU"/>
        </w:rPr>
      </w:pPr>
      <w:r w:rsidRPr="0055759C">
        <w:rPr>
          <w:lang w:val="en-AU"/>
        </w:rPr>
        <w:t>It has been developed by a properly constitu</w:t>
      </w:r>
      <w:r w:rsidR="009C259E">
        <w:rPr>
          <w:lang w:val="en-AU"/>
        </w:rPr>
        <w:t>t</w:t>
      </w:r>
      <w:r w:rsidRPr="0055759C">
        <w:rPr>
          <w:lang w:val="en-AU"/>
        </w:rPr>
        <w:t>ed Standards Australia committee with broad stakeholder representation (including AEMO, DNSPs, OEMs, consumers, regulators and independent experts);</w:t>
      </w:r>
    </w:p>
    <w:p w14:paraId="5A2E2225" w14:textId="3DA6D2A3" w:rsidR="000258E0" w:rsidRPr="0055759C" w:rsidRDefault="000258E0" w:rsidP="0055759C">
      <w:pPr>
        <w:pStyle w:val="ListParagraph"/>
        <w:numPr>
          <w:ilvl w:val="0"/>
          <w:numId w:val="2"/>
        </w:numPr>
        <w:rPr>
          <w:lang w:val="en-AU"/>
        </w:rPr>
      </w:pPr>
      <w:r w:rsidRPr="0055759C">
        <w:rPr>
          <w:lang w:val="en-AU"/>
        </w:rPr>
        <w:t xml:space="preserve">Its adoption as a </w:t>
      </w:r>
      <w:r w:rsidRPr="0055759C">
        <w:rPr>
          <w:i/>
          <w:iCs/>
          <w:lang w:val="en-AU"/>
        </w:rPr>
        <w:t xml:space="preserve">minimum </w:t>
      </w:r>
      <w:r w:rsidRPr="0055759C">
        <w:rPr>
          <w:lang w:val="en-AU"/>
        </w:rPr>
        <w:t>demand response standard has already been endorsed at the highest level (COAG Energy Council)</w:t>
      </w:r>
      <w:r w:rsidR="0055759C" w:rsidRPr="0055759C">
        <w:rPr>
          <w:lang w:val="en-AU"/>
        </w:rPr>
        <w:t>, with target implementation dates</w:t>
      </w:r>
      <w:r w:rsidRPr="0055759C">
        <w:rPr>
          <w:lang w:val="en-AU"/>
        </w:rPr>
        <w:t>;</w:t>
      </w:r>
    </w:p>
    <w:p w14:paraId="29F7E872" w14:textId="091DA544" w:rsidR="000258E0" w:rsidRPr="0055759C" w:rsidRDefault="000258E0" w:rsidP="0055759C">
      <w:pPr>
        <w:pStyle w:val="ListParagraph"/>
        <w:numPr>
          <w:ilvl w:val="0"/>
          <w:numId w:val="2"/>
        </w:numPr>
        <w:rPr>
          <w:lang w:val="en-AU"/>
        </w:rPr>
      </w:pPr>
      <w:r w:rsidRPr="0055759C">
        <w:rPr>
          <w:lang w:val="en-AU"/>
        </w:rPr>
        <w:t>It is designed to be flexible and extendable</w:t>
      </w:r>
      <w:r w:rsidR="0055759C" w:rsidRPr="0055759C">
        <w:rPr>
          <w:lang w:val="en-AU"/>
        </w:rPr>
        <w:t xml:space="preserve">, including the possibility of interfacing with international standards (none of which are currently adequate for adoption in terms of </w:t>
      </w:r>
      <w:r w:rsidR="00777EFA" w:rsidRPr="0055759C">
        <w:rPr>
          <w:lang w:val="en-AU"/>
        </w:rPr>
        <w:t>predictability</w:t>
      </w:r>
      <w:r w:rsidR="0055759C" w:rsidRPr="0055759C">
        <w:rPr>
          <w:lang w:val="en-AU"/>
        </w:rPr>
        <w:t xml:space="preserve"> and verifiability of response); </w:t>
      </w:r>
    </w:p>
    <w:p w14:paraId="59B67C81" w14:textId="782B6AB4" w:rsidR="000258E0" w:rsidRPr="0055759C" w:rsidRDefault="0055759C" w:rsidP="0055759C">
      <w:pPr>
        <w:pStyle w:val="ListParagraph"/>
        <w:numPr>
          <w:ilvl w:val="0"/>
          <w:numId w:val="2"/>
        </w:numPr>
        <w:rPr>
          <w:lang w:val="en-AU"/>
        </w:rPr>
      </w:pPr>
      <w:r w:rsidRPr="0055759C">
        <w:rPr>
          <w:lang w:val="en-AU"/>
        </w:rPr>
        <w:t xml:space="preserve">A </w:t>
      </w:r>
      <w:r w:rsidR="000258E0" w:rsidRPr="0055759C">
        <w:rPr>
          <w:lang w:val="en-AU"/>
        </w:rPr>
        <w:t>new part now in draft (AS</w:t>
      </w:r>
      <w:r w:rsidRPr="0055759C">
        <w:rPr>
          <w:lang w:val="en-AU"/>
        </w:rPr>
        <w:t xml:space="preserve"> </w:t>
      </w:r>
      <w:r w:rsidR="000258E0" w:rsidRPr="0055759C">
        <w:rPr>
          <w:lang w:val="en-AU"/>
        </w:rPr>
        <w:t>4755.2) covers cyber-security</w:t>
      </w:r>
      <w:r w:rsidR="009C259E">
        <w:rPr>
          <w:lang w:val="en-AU"/>
        </w:rPr>
        <w:t xml:space="preserve"> rules (developed with significant input from AEMO)</w:t>
      </w:r>
      <w:r w:rsidRPr="0055759C">
        <w:rPr>
          <w:lang w:val="en-AU"/>
        </w:rPr>
        <w:t xml:space="preserve">; and </w:t>
      </w:r>
    </w:p>
    <w:p w14:paraId="4E214E1B" w14:textId="34A983E9" w:rsidR="000258E0" w:rsidRDefault="0055759C" w:rsidP="0055759C">
      <w:pPr>
        <w:pStyle w:val="ListParagraph"/>
        <w:numPr>
          <w:ilvl w:val="0"/>
          <w:numId w:val="2"/>
        </w:numPr>
      </w:pPr>
      <w:r w:rsidRPr="0055759C">
        <w:rPr>
          <w:lang w:val="en-AU"/>
        </w:rPr>
        <w:t>There is an existing fr</w:t>
      </w:r>
      <w:r>
        <w:rPr>
          <w:lang w:val="en-AU"/>
        </w:rPr>
        <w:t xml:space="preserve">amework </w:t>
      </w:r>
      <w:r w:rsidRPr="0055759C">
        <w:rPr>
          <w:lang w:val="en-AU"/>
        </w:rPr>
        <w:t xml:space="preserve">for implementation (the GEMS Act). </w:t>
      </w:r>
    </w:p>
    <w:p w14:paraId="751AC524" w14:textId="1F09F934" w:rsidR="00CC6BD0" w:rsidRDefault="00CC6BD0"/>
    <w:p w14:paraId="5CAA14EF" w14:textId="5EB5ACBF" w:rsidR="00CC6BD0" w:rsidRPr="0055759C" w:rsidRDefault="0055759C">
      <w:pPr>
        <w:rPr>
          <w:b/>
          <w:bCs/>
        </w:rPr>
      </w:pPr>
      <w:r w:rsidRPr="0055759C">
        <w:rPr>
          <w:b/>
          <w:bCs/>
        </w:rPr>
        <w:t>Response</w:t>
      </w:r>
      <w:r>
        <w:rPr>
          <w:b/>
          <w:bCs/>
        </w:rPr>
        <w:t>s</w:t>
      </w:r>
      <w:r w:rsidRPr="0055759C">
        <w:rPr>
          <w:b/>
          <w:bCs/>
        </w:rPr>
        <w:t xml:space="preserve"> to Questions</w:t>
      </w:r>
    </w:p>
    <w:p w14:paraId="2C37B5C0" w14:textId="7044611C" w:rsidR="00CC6BD0" w:rsidRDefault="00CC6BD0"/>
    <w:p w14:paraId="0A4E71A0" w14:textId="11AFDDA8" w:rsidR="00CC6BD0" w:rsidRPr="00691D39" w:rsidRDefault="00CC6BD0">
      <w:pPr>
        <w:rPr>
          <w:i/>
          <w:iCs/>
          <w:lang w:val="en-AU"/>
        </w:rPr>
      </w:pPr>
      <w:r w:rsidRPr="00691D39">
        <w:rPr>
          <w:i/>
          <w:iCs/>
          <w:lang w:val="en-AU"/>
        </w:rPr>
        <w:t>Q1. Do you support the proposal to establish a DER Standards Governance Committee under the National Electricity Rules? If not, what alternative would you suggest?</w:t>
      </w:r>
    </w:p>
    <w:p w14:paraId="22D73413" w14:textId="7AB1075B" w:rsidR="00CC6BD0" w:rsidRDefault="00CC6BD0">
      <w:pPr>
        <w:rPr>
          <w:lang w:val="en-AU"/>
        </w:rPr>
      </w:pPr>
    </w:p>
    <w:p w14:paraId="74742471" w14:textId="63464A5E" w:rsidR="0055759C" w:rsidRDefault="0055759C">
      <w:pPr>
        <w:rPr>
          <w:lang w:val="en-AU"/>
        </w:rPr>
      </w:pPr>
      <w:r>
        <w:rPr>
          <w:lang w:val="en-AU"/>
        </w:rPr>
        <w:t xml:space="preserve">I support the establishment of a DER SGC that would be initially advisory, not determining. If it is not </w:t>
      </w:r>
      <w:r w:rsidR="00777EFA">
        <w:rPr>
          <w:lang w:val="en-AU"/>
        </w:rPr>
        <w:t>determining</w:t>
      </w:r>
      <w:r>
        <w:rPr>
          <w:lang w:val="en-AU"/>
        </w:rPr>
        <w:t xml:space="preserve">, it is </w:t>
      </w:r>
      <w:r w:rsidR="009C259E">
        <w:rPr>
          <w:lang w:val="en-AU"/>
        </w:rPr>
        <w:t>un</w:t>
      </w:r>
      <w:r>
        <w:rPr>
          <w:lang w:val="en-AU"/>
        </w:rPr>
        <w:t>clear why its establishment would require a change to the National Electricity Rules (other than to enable the AEMC to resource it?). It shoul</w:t>
      </w:r>
      <w:r w:rsidR="009C259E">
        <w:rPr>
          <w:lang w:val="en-AU"/>
        </w:rPr>
        <w:t>d</w:t>
      </w:r>
      <w:r>
        <w:rPr>
          <w:lang w:val="en-AU"/>
        </w:rPr>
        <w:t xml:space="preserve"> have the power </w:t>
      </w:r>
      <w:r w:rsidR="009C259E">
        <w:rPr>
          <w:lang w:val="en-AU"/>
        </w:rPr>
        <w:t>to initiate, as a</w:t>
      </w:r>
      <w:r>
        <w:rPr>
          <w:lang w:val="en-AU"/>
        </w:rPr>
        <w:t xml:space="preserve"> Commit</w:t>
      </w:r>
      <w:r w:rsidR="009C259E">
        <w:rPr>
          <w:lang w:val="en-AU"/>
        </w:rPr>
        <w:t>t</w:t>
      </w:r>
      <w:r>
        <w:rPr>
          <w:lang w:val="en-AU"/>
        </w:rPr>
        <w:t xml:space="preserve">ee, </w:t>
      </w:r>
      <w:r w:rsidR="009C259E">
        <w:rPr>
          <w:lang w:val="en-AU"/>
        </w:rPr>
        <w:t xml:space="preserve">future requests for rule changes should this be the only, or the preferred mechanism for implementation of specific DER technical standards.  </w:t>
      </w:r>
    </w:p>
    <w:p w14:paraId="702926E0" w14:textId="77777777" w:rsidR="0055759C" w:rsidRDefault="0055759C">
      <w:pPr>
        <w:rPr>
          <w:lang w:val="en-AU"/>
        </w:rPr>
      </w:pPr>
    </w:p>
    <w:p w14:paraId="79BF851B" w14:textId="0EF6FFDC" w:rsidR="00CC6BD0" w:rsidRPr="00691D39" w:rsidRDefault="00CC6BD0" w:rsidP="00CC6BD0">
      <w:pPr>
        <w:rPr>
          <w:i/>
          <w:iCs/>
          <w:lang w:val="en-AU"/>
        </w:rPr>
      </w:pPr>
      <w:r w:rsidRPr="00691D39">
        <w:rPr>
          <w:i/>
          <w:iCs/>
          <w:lang w:val="en-AU"/>
        </w:rPr>
        <w:t>Q2. Do you have any feedback on the proposed functions of the DER Standards Governance Committee?</w:t>
      </w:r>
    </w:p>
    <w:p w14:paraId="34C26028" w14:textId="1EF0B3A6" w:rsidR="009C259E" w:rsidRDefault="009C259E" w:rsidP="00CC6BD0">
      <w:pPr>
        <w:rPr>
          <w:lang w:val="en-AU"/>
        </w:rPr>
      </w:pPr>
    </w:p>
    <w:p w14:paraId="498F710C" w14:textId="7AB83349" w:rsidR="009C259E" w:rsidRDefault="009C259E" w:rsidP="00CC6BD0">
      <w:pPr>
        <w:rPr>
          <w:lang w:val="en-AU"/>
        </w:rPr>
      </w:pPr>
      <w:r>
        <w:rPr>
          <w:lang w:val="en-AU"/>
        </w:rPr>
        <w:lastRenderedPageBreak/>
        <w:t xml:space="preserve">I support the general </w:t>
      </w:r>
      <w:r w:rsidR="00B13BEE">
        <w:rPr>
          <w:lang w:val="en-AU"/>
        </w:rPr>
        <w:t xml:space="preserve">proposed </w:t>
      </w:r>
      <w:r>
        <w:rPr>
          <w:lang w:val="en-AU"/>
        </w:rPr>
        <w:t xml:space="preserve">functions, </w:t>
      </w:r>
      <w:r w:rsidR="00B13BEE">
        <w:rPr>
          <w:lang w:val="en-AU"/>
        </w:rPr>
        <w:t xml:space="preserve">but they should extend to consideration of DER standards that are beyond the scope of National Electricity Rules, such as standards applying to product performance at the point of supply. </w:t>
      </w:r>
    </w:p>
    <w:p w14:paraId="060AD11A" w14:textId="0380A827" w:rsidR="00CC6BD0" w:rsidRPr="00CC6BD0" w:rsidRDefault="00CC6BD0" w:rsidP="00CC6BD0">
      <w:pPr>
        <w:rPr>
          <w:lang w:val="en-AU"/>
        </w:rPr>
      </w:pPr>
      <w:r w:rsidRPr="00CC6BD0">
        <w:rPr>
          <w:lang w:val="en-AU"/>
        </w:rPr>
        <w:t xml:space="preserve"> </w:t>
      </w:r>
    </w:p>
    <w:p w14:paraId="2CFF0BA3" w14:textId="77777777" w:rsidR="00CC6BD0" w:rsidRPr="00691D39" w:rsidRDefault="00CC6BD0" w:rsidP="00CC6BD0">
      <w:pPr>
        <w:rPr>
          <w:i/>
          <w:iCs/>
          <w:lang w:val="en-AU"/>
        </w:rPr>
      </w:pPr>
      <w:r w:rsidRPr="00691D39">
        <w:rPr>
          <w:i/>
          <w:iCs/>
          <w:lang w:val="en-AU"/>
        </w:rPr>
        <w:t>Q3. Do you support the DER Standards Governance Committee being advisory or be determining? Please provide reasons.</w:t>
      </w:r>
    </w:p>
    <w:p w14:paraId="64FB6EF3" w14:textId="77777777" w:rsidR="00B13BEE" w:rsidRDefault="00B13BEE" w:rsidP="00CC6BD0">
      <w:pPr>
        <w:rPr>
          <w:lang w:val="en-AU"/>
        </w:rPr>
      </w:pPr>
    </w:p>
    <w:p w14:paraId="4C125001" w14:textId="67A201E1" w:rsidR="00B13BEE" w:rsidRDefault="00B13BEE" w:rsidP="00CC6BD0">
      <w:pPr>
        <w:rPr>
          <w:lang w:val="en-AU"/>
        </w:rPr>
      </w:pPr>
      <w:r>
        <w:rPr>
          <w:lang w:val="en-AU"/>
        </w:rPr>
        <w:t xml:space="preserve">The DER SGC should be advisory in the first instance, at least until the first 3-yearly review. </w:t>
      </w:r>
      <w:r w:rsidR="00691D39">
        <w:rPr>
          <w:lang w:val="en-AU"/>
        </w:rPr>
        <w:t>It will take at l</w:t>
      </w:r>
      <w:r w:rsidR="00DC4666">
        <w:rPr>
          <w:lang w:val="en-AU"/>
        </w:rPr>
        <w:t>e</w:t>
      </w:r>
      <w:r w:rsidR="00691D39">
        <w:rPr>
          <w:lang w:val="en-AU"/>
        </w:rPr>
        <w:t xml:space="preserve">ast a year for the DER SGC to be in a position to </w:t>
      </w:r>
      <w:r w:rsidR="00777EFA">
        <w:rPr>
          <w:lang w:val="en-AU"/>
        </w:rPr>
        <w:t>demonstrate</w:t>
      </w:r>
      <w:r w:rsidR="00691D39">
        <w:rPr>
          <w:lang w:val="en-AU"/>
        </w:rPr>
        <w:t xml:space="preserve"> its effective operation and ability to engage stakeholders. Giving it determining powers at the outset would risk paralysis and delay of existing DER standards development. </w:t>
      </w:r>
    </w:p>
    <w:p w14:paraId="68048A91" w14:textId="1CDC576A" w:rsidR="00CC6BD0" w:rsidRPr="00CC6BD0" w:rsidRDefault="00CC6BD0" w:rsidP="00CC6BD0">
      <w:pPr>
        <w:rPr>
          <w:lang w:val="en-AU"/>
        </w:rPr>
      </w:pPr>
      <w:r w:rsidRPr="00CC6BD0">
        <w:rPr>
          <w:lang w:val="en-AU"/>
        </w:rPr>
        <w:t xml:space="preserve"> </w:t>
      </w:r>
    </w:p>
    <w:p w14:paraId="7BA430E6" w14:textId="0ADBCCB2" w:rsidR="00691D39" w:rsidRDefault="00CC6BD0" w:rsidP="00CC6BD0">
      <w:pPr>
        <w:rPr>
          <w:lang w:val="en-AU"/>
        </w:rPr>
      </w:pPr>
      <w:r w:rsidRPr="00691D39">
        <w:rPr>
          <w:i/>
          <w:iCs/>
          <w:lang w:val="en-AU"/>
        </w:rPr>
        <w:t>Q4. Do you have any feedback about the Committee determining standards in a subsidiary instrument under the rules?</w:t>
      </w:r>
      <w:r w:rsidR="0083015F">
        <w:rPr>
          <w:i/>
          <w:iCs/>
          <w:lang w:val="en-AU"/>
        </w:rPr>
        <w:t xml:space="preserve"> </w:t>
      </w:r>
      <w:r w:rsidR="00691D39">
        <w:rPr>
          <w:lang w:val="en-AU"/>
        </w:rPr>
        <w:t xml:space="preserve">No view.  </w:t>
      </w:r>
    </w:p>
    <w:p w14:paraId="1144B864" w14:textId="4F6E3E7C" w:rsidR="00CC6BD0" w:rsidRPr="00CC6BD0" w:rsidRDefault="00CC6BD0" w:rsidP="00CC6BD0">
      <w:pPr>
        <w:rPr>
          <w:lang w:val="en-AU"/>
        </w:rPr>
      </w:pPr>
      <w:r w:rsidRPr="00CC6BD0">
        <w:rPr>
          <w:lang w:val="en-AU"/>
        </w:rPr>
        <w:t xml:space="preserve"> </w:t>
      </w:r>
    </w:p>
    <w:p w14:paraId="492F7087" w14:textId="23085A82" w:rsidR="00CC6BD0" w:rsidRPr="0028633D" w:rsidRDefault="00CC6BD0" w:rsidP="00CC6BD0">
      <w:pPr>
        <w:rPr>
          <w:i/>
          <w:iCs/>
          <w:lang w:val="en-AU"/>
        </w:rPr>
      </w:pPr>
      <w:r w:rsidRPr="0028633D">
        <w:rPr>
          <w:i/>
          <w:iCs/>
          <w:lang w:val="en-AU"/>
        </w:rPr>
        <w:t>Q5. Do you have any feedback on the development of new compliance and enforcement arrangements for DER technical standards?</w:t>
      </w:r>
    </w:p>
    <w:p w14:paraId="1284F6E2" w14:textId="120004C9" w:rsidR="00691D39" w:rsidRDefault="00691D39" w:rsidP="00CC6BD0">
      <w:pPr>
        <w:rPr>
          <w:lang w:val="en-AU"/>
        </w:rPr>
      </w:pPr>
    </w:p>
    <w:p w14:paraId="25C44DD7" w14:textId="0860BE4F" w:rsidR="00691D39" w:rsidRDefault="0083015F" w:rsidP="00CC6BD0">
      <w:pPr>
        <w:rPr>
          <w:lang w:val="en-AU"/>
        </w:rPr>
      </w:pPr>
      <w:r>
        <w:rPr>
          <w:lang w:val="en-AU"/>
        </w:rPr>
        <w:t>C</w:t>
      </w:r>
      <w:r w:rsidR="00691D39">
        <w:rPr>
          <w:lang w:val="en-AU"/>
        </w:rPr>
        <w:t>ompliance and enforcement arrangements for product standards appear to be beyond the scope of the National Electricity Law, so a compre</w:t>
      </w:r>
      <w:r w:rsidR="0028633D">
        <w:rPr>
          <w:lang w:val="en-AU"/>
        </w:rPr>
        <w:t xml:space="preserve">hensive </w:t>
      </w:r>
      <w:r w:rsidR="00691D39">
        <w:rPr>
          <w:lang w:val="en-AU"/>
        </w:rPr>
        <w:t>approach to DER standards co-o</w:t>
      </w:r>
      <w:r w:rsidR="0028633D">
        <w:rPr>
          <w:lang w:val="en-AU"/>
        </w:rPr>
        <w:t>r</w:t>
      </w:r>
      <w:r w:rsidR="00691D39">
        <w:rPr>
          <w:lang w:val="en-AU"/>
        </w:rPr>
        <w:t xml:space="preserve">dination would need to engage </w:t>
      </w:r>
      <w:r w:rsidR="0028633D">
        <w:rPr>
          <w:lang w:val="en-AU"/>
        </w:rPr>
        <w:t xml:space="preserve">other legislation and other regulators. </w:t>
      </w:r>
    </w:p>
    <w:p w14:paraId="227DE565" w14:textId="52D629DC" w:rsidR="00CC6BD0" w:rsidRDefault="00CC6BD0" w:rsidP="00CC6BD0">
      <w:pPr>
        <w:rPr>
          <w:lang w:val="en-AU"/>
        </w:rPr>
      </w:pPr>
    </w:p>
    <w:p w14:paraId="14204519" w14:textId="77777777" w:rsidR="00CC6BD0" w:rsidRPr="0028633D" w:rsidRDefault="00CC6BD0" w:rsidP="00CC6BD0">
      <w:pPr>
        <w:rPr>
          <w:i/>
          <w:iCs/>
          <w:lang w:val="en-AU"/>
        </w:rPr>
      </w:pPr>
      <w:r w:rsidRPr="0028633D">
        <w:rPr>
          <w:i/>
          <w:iCs/>
          <w:lang w:val="en-AU"/>
        </w:rPr>
        <w:t xml:space="preserve">Q6. Do you support the proposed composition of the membership and nature of chair of the Committee? Please provide reasons or nominate alternative arrangements. </w:t>
      </w:r>
    </w:p>
    <w:p w14:paraId="679F1C6E" w14:textId="4DC753A3" w:rsidR="00CC6BD0" w:rsidRDefault="00CC6BD0" w:rsidP="00CC6BD0">
      <w:pPr>
        <w:rPr>
          <w:lang w:val="en-AU"/>
        </w:rPr>
      </w:pPr>
    </w:p>
    <w:p w14:paraId="72E0656F" w14:textId="7A975B8F" w:rsidR="0028633D" w:rsidRDefault="007523C3" w:rsidP="00CC6BD0">
      <w:pPr>
        <w:rPr>
          <w:lang w:val="en-AU"/>
        </w:rPr>
      </w:pPr>
      <w:r>
        <w:rPr>
          <w:lang w:val="en-AU"/>
        </w:rPr>
        <w:t>Given that ther</w:t>
      </w:r>
      <w:r w:rsidR="0085075B">
        <w:rPr>
          <w:lang w:val="en-AU"/>
        </w:rPr>
        <w:t>e</w:t>
      </w:r>
      <w:r>
        <w:rPr>
          <w:lang w:val="en-AU"/>
        </w:rPr>
        <w:t xml:space="preserve"> wil</w:t>
      </w:r>
      <w:r w:rsidR="0085075B">
        <w:rPr>
          <w:lang w:val="en-AU"/>
        </w:rPr>
        <w:t>l</w:t>
      </w:r>
      <w:r>
        <w:rPr>
          <w:lang w:val="en-AU"/>
        </w:rPr>
        <w:t xml:space="preserve"> always be tension between broad</w:t>
      </w:r>
      <w:r w:rsidR="0085075B">
        <w:rPr>
          <w:lang w:val="en-AU"/>
        </w:rPr>
        <w:t xml:space="preserve">ness of </w:t>
      </w:r>
      <w:r>
        <w:rPr>
          <w:lang w:val="en-AU"/>
        </w:rPr>
        <w:t xml:space="preserve">representation </w:t>
      </w:r>
      <w:r w:rsidR="0085075B">
        <w:rPr>
          <w:lang w:val="en-AU"/>
        </w:rPr>
        <w:t xml:space="preserve">and a workable committee size, the </w:t>
      </w:r>
      <w:r>
        <w:rPr>
          <w:lang w:val="en-AU"/>
        </w:rPr>
        <w:t>proposed compo</w:t>
      </w:r>
      <w:r w:rsidR="0085075B">
        <w:rPr>
          <w:lang w:val="en-AU"/>
        </w:rPr>
        <w:t xml:space="preserve">sition </w:t>
      </w:r>
      <w:r>
        <w:rPr>
          <w:lang w:val="en-AU"/>
        </w:rPr>
        <w:t xml:space="preserve">seems reasonable. </w:t>
      </w:r>
      <w:r w:rsidR="00777EFA">
        <w:rPr>
          <w:lang w:val="en-AU"/>
        </w:rPr>
        <w:t xml:space="preserve">However, </w:t>
      </w:r>
      <w:r w:rsidR="0085075B">
        <w:rPr>
          <w:lang w:val="en-AU"/>
        </w:rPr>
        <w:t>the committee should include a nominee of the E3 Energy Efficiency Advisory Team</w:t>
      </w:r>
      <w:r w:rsidR="0083015F">
        <w:rPr>
          <w:lang w:val="en-AU"/>
        </w:rPr>
        <w:t xml:space="preserve"> (not necessarily the Commonwealth)</w:t>
      </w:r>
      <w:r w:rsidR="0085075B">
        <w:rPr>
          <w:lang w:val="en-AU"/>
        </w:rPr>
        <w:t xml:space="preserve">, which would link the committee to the work of the E3 Program and the GEMS Act. The 2019 COAG Energy </w:t>
      </w:r>
      <w:r w:rsidR="00777EFA">
        <w:rPr>
          <w:lang w:val="en-AU"/>
        </w:rPr>
        <w:t>Council</w:t>
      </w:r>
      <w:r w:rsidR="0085075B">
        <w:rPr>
          <w:lang w:val="en-AU"/>
        </w:rPr>
        <w:t xml:space="preserve"> decision concerning AS/NZS 4755 </w:t>
      </w:r>
      <w:r w:rsidR="00777EFA">
        <w:rPr>
          <w:lang w:val="en-AU"/>
        </w:rPr>
        <w:t xml:space="preserve">envisaged </w:t>
      </w:r>
      <w:proofErr w:type="spellStart"/>
      <w:r w:rsidR="00777EFA">
        <w:rPr>
          <w:lang w:val="en-AU"/>
        </w:rPr>
        <w:t>implemention</w:t>
      </w:r>
      <w:proofErr w:type="spellEnd"/>
      <w:r w:rsidR="00777EFA">
        <w:rPr>
          <w:lang w:val="en-AU"/>
        </w:rPr>
        <w:t xml:space="preserve"> though GEMS </w:t>
      </w:r>
      <w:proofErr w:type="spellStart"/>
      <w:r w:rsidR="00777EFA">
        <w:rPr>
          <w:lang w:val="en-AU"/>
        </w:rPr>
        <w:t>determintions</w:t>
      </w:r>
      <w:proofErr w:type="spellEnd"/>
      <w:r w:rsidR="00777EFA">
        <w:rPr>
          <w:lang w:val="en-AU"/>
        </w:rPr>
        <w:t xml:space="preserve"> and </w:t>
      </w:r>
      <w:r w:rsidR="0085075B">
        <w:rPr>
          <w:lang w:val="en-AU"/>
        </w:rPr>
        <w:t xml:space="preserve">required the “E3 Committee” </w:t>
      </w:r>
      <w:r w:rsidR="0083015F">
        <w:rPr>
          <w:lang w:val="en-AU"/>
        </w:rPr>
        <w:t xml:space="preserve">to undertake a number of DER standards development studies, and these should be co-ordinated with the </w:t>
      </w:r>
      <w:r w:rsidR="00777EFA">
        <w:rPr>
          <w:lang w:val="en-AU"/>
        </w:rPr>
        <w:t>work</w:t>
      </w:r>
      <w:r w:rsidR="0083015F">
        <w:rPr>
          <w:lang w:val="en-AU"/>
        </w:rPr>
        <w:t xml:space="preserve"> of the DER SGC. </w:t>
      </w:r>
    </w:p>
    <w:p w14:paraId="121BBA85" w14:textId="77777777" w:rsidR="0028633D" w:rsidRDefault="0028633D" w:rsidP="00CC6BD0">
      <w:pPr>
        <w:rPr>
          <w:lang w:val="en-AU"/>
        </w:rPr>
      </w:pPr>
    </w:p>
    <w:p w14:paraId="5E6B2B4B" w14:textId="4C6497EA" w:rsidR="0083015F" w:rsidRDefault="00CC6BD0" w:rsidP="00CC6BD0">
      <w:pPr>
        <w:rPr>
          <w:lang w:val="en-AU"/>
        </w:rPr>
      </w:pPr>
      <w:r w:rsidRPr="0083015F">
        <w:rPr>
          <w:i/>
          <w:iCs/>
          <w:lang w:val="en-AU"/>
        </w:rPr>
        <w:t xml:space="preserve">Q7. Do you support the proposed terms and selection arrangements? Please provide reasons. </w:t>
      </w:r>
      <w:r w:rsidR="0083015F">
        <w:rPr>
          <w:lang w:val="en-AU"/>
        </w:rPr>
        <w:t xml:space="preserve">No view. </w:t>
      </w:r>
    </w:p>
    <w:p w14:paraId="712A19C0" w14:textId="77777777" w:rsidR="0083015F" w:rsidRDefault="0083015F" w:rsidP="00CC6BD0">
      <w:pPr>
        <w:rPr>
          <w:lang w:val="en-AU"/>
        </w:rPr>
      </w:pPr>
    </w:p>
    <w:p w14:paraId="5402FB5E" w14:textId="516D5369" w:rsidR="00CC6BD0" w:rsidRDefault="00CC6BD0">
      <w:pPr>
        <w:rPr>
          <w:lang w:val="en-AU"/>
        </w:rPr>
      </w:pPr>
      <w:r w:rsidRPr="0083015F">
        <w:rPr>
          <w:i/>
          <w:iCs/>
          <w:lang w:val="en-AU"/>
        </w:rPr>
        <w:t>Q8. Do you have any feedback on the other elements of the proposed operation of the Committee?</w:t>
      </w:r>
      <w:r w:rsidR="0083015F">
        <w:rPr>
          <w:i/>
          <w:iCs/>
          <w:lang w:val="en-AU"/>
        </w:rPr>
        <w:t xml:space="preserve"> </w:t>
      </w:r>
      <w:r w:rsidR="0083015F">
        <w:rPr>
          <w:lang w:val="en-AU"/>
        </w:rPr>
        <w:t xml:space="preserve">No view. </w:t>
      </w:r>
    </w:p>
    <w:p w14:paraId="65127F70" w14:textId="3E7D0BAF" w:rsidR="00CC6BD0" w:rsidRDefault="00CC6BD0"/>
    <w:p w14:paraId="5E3607C6" w14:textId="4AC0C287" w:rsidR="0083015F" w:rsidRDefault="0083015F">
      <w:r>
        <w:t xml:space="preserve">I am happy for this submission to be made public. </w:t>
      </w:r>
    </w:p>
    <w:p w14:paraId="3A8727D7" w14:textId="5FF386CA" w:rsidR="00CC6BD0" w:rsidRDefault="00CC6BD0"/>
    <w:p w14:paraId="108CD1E3" w14:textId="0271A0F7" w:rsidR="0083015F" w:rsidRDefault="0083015F">
      <w:r>
        <w:t>Sincerely</w:t>
      </w:r>
    </w:p>
    <w:p w14:paraId="5C38C30D" w14:textId="089FA0B8" w:rsidR="0083015F" w:rsidRDefault="0083015F"/>
    <w:p w14:paraId="6EE578E6" w14:textId="3B95AF79" w:rsidR="0083015F" w:rsidRDefault="0083015F">
      <w:r>
        <w:rPr>
          <w:noProof/>
        </w:rPr>
        <w:drawing>
          <wp:inline distT="0" distB="0" distL="0" distR="0" wp14:anchorId="78798DE5" wp14:editId="64BE9345">
            <wp:extent cx="1300977" cy="588397"/>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W Signatur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2247" cy="629676"/>
                    </a:xfrm>
                    <a:prstGeom prst="rect">
                      <a:avLst/>
                    </a:prstGeom>
                  </pic:spPr>
                </pic:pic>
              </a:graphicData>
            </a:graphic>
          </wp:inline>
        </w:drawing>
      </w:r>
    </w:p>
    <w:p w14:paraId="309ECB80" w14:textId="71704115" w:rsidR="0083015F" w:rsidRDefault="0083015F">
      <w:r>
        <w:t xml:space="preserve">Director </w:t>
      </w:r>
    </w:p>
    <w:p w14:paraId="2947FB96" w14:textId="3523CB72" w:rsidR="00317E88" w:rsidRPr="005E6115" w:rsidRDefault="0083015F">
      <w:r>
        <w:t>George Wilkenfeld &amp; Associates</w:t>
      </w:r>
      <w:r w:rsidR="005E6115">
        <w:t xml:space="preserve"> </w:t>
      </w:r>
    </w:p>
    <w:sectPr w:rsidR="00317E88" w:rsidRPr="005E6115">
      <w:footerReference w:type="default" r:id="rId9"/>
      <w:endnotePr>
        <w:numFmt w:val="decimal"/>
      </w:endnotePr>
      <w:pgSz w:w="11909" w:h="16834"/>
      <w:pgMar w:top="720" w:right="1800" w:bottom="216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CB2755" w14:textId="77777777" w:rsidR="00981A3F" w:rsidRDefault="00981A3F">
      <w:r>
        <w:separator/>
      </w:r>
    </w:p>
  </w:endnote>
  <w:endnote w:type="continuationSeparator" w:id="0">
    <w:p w14:paraId="487750D5" w14:textId="77777777" w:rsidR="00981A3F" w:rsidRDefault="00981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9A02F" w14:textId="77777777" w:rsidR="00561FE5" w:rsidRDefault="00561FE5">
    <w:pPr>
      <w:pStyle w:val="Footer"/>
      <w:jc w:val="center"/>
      <w:rPr>
        <w:b/>
        <w:sz w:val="16"/>
      </w:rPr>
    </w:pPr>
    <w:r>
      <w:rPr>
        <w:b/>
        <w:sz w:val="16"/>
      </w:rPr>
      <w:t>George Wilkenfeld  B Arch (Hons)  A A Dipl Grad (Hons)  M Phil  Ph 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CFC1CD" w14:textId="77777777" w:rsidR="00981A3F" w:rsidRDefault="00981A3F">
      <w:r>
        <w:separator/>
      </w:r>
    </w:p>
  </w:footnote>
  <w:footnote w:type="continuationSeparator" w:id="0">
    <w:p w14:paraId="3945CC78" w14:textId="77777777" w:rsidR="00981A3F" w:rsidRDefault="00981A3F">
      <w:r>
        <w:continuationSeparator/>
      </w:r>
    </w:p>
  </w:footnote>
  <w:footnote w:id="1">
    <w:p w14:paraId="009C23D4" w14:textId="6DD5A0A5" w:rsidR="00561FE5" w:rsidRPr="00C07AD0" w:rsidRDefault="00561FE5">
      <w:pPr>
        <w:pStyle w:val="FootnoteText"/>
        <w:rPr>
          <w:lang w:val="en-AU"/>
        </w:rPr>
      </w:pPr>
      <w:r>
        <w:rPr>
          <w:rStyle w:val="FootnoteReference"/>
        </w:rPr>
        <w:footnoteRef/>
      </w:r>
      <w:r>
        <w:t xml:space="preserve"> </w:t>
      </w:r>
      <w:hyperlink r:id="rId1" w:history="1">
        <w:r w:rsidRPr="00256374">
          <w:rPr>
            <w:rStyle w:val="Hyperlink"/>
          </w:rPr>
          <w:t>https://www.energyrating.gov.au/document/regulation-impact-statement-decision-smart-demand-response-capabilities-selected-appliances</w:t>
        </w:r>
      </w:hyperlink>
    </w:p>
  </w:footnote>
  <w:footnote w:id="2">
    <w:p w14:paraId="6425262E" w14:textId="3F356FA6" w:rsidR="00561FE5" w:rsidRPr="00B54CBF" w:rsidRDefault="00561FE5">
      <w:pPr>
        <w:pStyle w:val="FootnoteText"/>
      </w:pPr>
      <w:r>
        <w:rPr>
          <w:rStyle w:val="FootnoteReference"/>
        </w:rPr>
        <w:footnoteRef/>
      </w:r>
      <w:r>
        <w:t xml:space="preserve"> </w:t>
      </w:r>
      <w:hyperlink r:id="rId2" w:history="1">
        <w:r w:rsidRPr="00256374">
          <w:rPr>
            <w:rStyle w:val="Hyperlink"/>
          </w:rPr>
          <w:t>https://www.abcb.gov.au/Resources/Publications/Certification/WaterMark-Point-of-Sale-Feasibility-Study</w:t>
        </w:r>
      </w:hyperlink>
    </w:p>
  </w:footnote>
  <w:footnote w:id="3">
    <w:p w14:paraId="372BFEED" w14:textId="6BCBCCE1" w:rsidR="00561FE5" w:rsidRPr="000B3EBE" w:rsidRDefault="00561FE5">
      <w:pPr>
        <w:pStyle w:val="FootnoteText"/>
        <w:rPr>
          <w:lang w:val="en-AU"/>
        </w:rPr>
      </w:pPr>
      <w:r>
        <w:rPr>
          <w:rStyle w:val="FootnoteReference"/>
        </w:rPr>
        <w:footnoteRef/>
      </w:r>
      <w:r>
        <w:t xml:space="preserve"> </w:t>
      </w:r>
      <w:hyperlink r:id="rId3" w:history="1">
        <w:r w:rsidRPr="00256374">
          <w:rPr>
            <w:rStyle w:val="Hyperlink"/>
          </w:rPr>
          <w:t>https://www.energyrating.gov.au/document/inter-governmental-agreement-gems</w:t>
        </w:r>
      </w:hyperlink>
    </w:p>
  </w:footnote>
  <w:footnote w:id="4">
    <w:p w14:paraId="29699CD1" w14:textId="77777777" w:rsidR="00561FE5" w:rsidRPr="00DE1336" w:rsidRDefault="00561FE5" w:rsidP="00700B87">
      <w:pPr>
        <w:pStyle w:val="FootnoteText"/>
        <w:rPr>
          <w:lang w:val="en-AU"/>
        </w:rPr>
      </w:pPr>
      <w:r>
        <w:rPr>
          <w:rStyle w:val="FootnoteReference"/>
        </w:rPr>
        <w:footnoteRef/>
      </w:r>
      <w:r>
        <w:t xml:space="preserve"> </w:t>
      </w:r>
      <w:hyperlink r:id="rId4" w:history="1">
        <w:r w:rsidRPr="00256374">
          <w:rPr>
            <w:rStyle w:val="Hyperlink"/>
          </w:rPr>
          <w:t>https://www.energyrating.gov.au/document/report-independent-review-gems-act-final-report</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60538E"/>
    <w:multiLevelType w:val="hybridMultilevel"/>
    <w:tmpl w:val="59928E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3EF3EB1"/>
    <w:multiLevelType w:val="hybridMultilevel"/>
    <w:tmpl w:val="C37CE64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hideSpellingErrors/>
  <w:proofState w:spelling="clean"/>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F36"/>
    <w:rsid w:val="000258E0"/>
    <w:rsid w:val="0007040F"/>
    <w:rsid w:val="000B3EBE"/>
    <w:rsid w:val="001A3223"/>
    <w:rsid w:val="0028633D"/>
    <w:rsid w:val="00317E88"/>
    <w:rsid w:val="00343DF6"/>
    <w:rsid w:val="00534B58"/>
    <w:rsid w:val="0055759C"/>
    <w:rsid w:val="00561FE5"/>
    <w:rsid w:val="00580F36"/>
    <w:rsid w:val="005E6115"/>
    <w:rsid w:val="00691D39"/>
    <w:rsid w:val="00700B87"/>
    <w:rsid w:val="00727960"/>
    <w:rsid w:val="007523C3"/>
    <w:rsid w:val="00777EFA"/>
    <w:rsid w:val="0083015F"/>
    <w:rsid w:val="0085075B"/>
    <w:rsid w:val="00981A3F"/>
    <w:rsid w:val="009C259E"/>
    <w:rsid w:val="00A602E5"/>
    <w:rsid w:val="00B13BEE"/>
    <w:rsid w:val="00B54CBF"/>
    <w:rsid w:val="00C07AD0"/>
    <w:rsid w:val="00CC6BD0"/>
    <w:rsid w:val="00D4085B"/>
    <w:rsid w:val="00DC4666"/>
    <w:rsid w:val="00DE1336"/>
    <w:rsid w:val="00F01441"/>
    <w:rsid w:val="00F32B0B"/>
    <w:rsid w:val="00FC38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09DB36"/>
  <w15:chartTrackingRefBased/>
  <w15:docId w15:val="{3F5882DF-6609-486E-9B9D-77B0B5906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n-GB" w:eastAsia="en-US"/>
    </w:rPr>
  </w:style>
  <w:style w:type="paragraph" w:styleId="Heading1">
    <w:name w:val="heading 1"/>
    <w:basedOn w:val="Normal"/>
    <w:next w:val="Normal"/>
    <w:qFormat/>
    <w:pPr>
      <w:spacing w:before="240"/>
      <w:jc w:val="center"/>
      <w:outlineLvl w:val="0"/>
    </w:pPr>
    <w:rPr>
      <w:b/>
      <w:spacing w:val="20"/>
      <w:sz w:val="40"/>
    </w:rPr>
  </w:style>
  <w:style w:type="paragraph" w:styleId="Heading2">
    <w:name w:val="heading 2"/>
    <w:basedOn w:val="Normal"/>
    <w:next w:val="Normal"/>
    <w:qFormat/>
    <w:pPr>
      <w:spacing w:before="120"/>
      <w:outlineLvl w:val="1"/>
    </w:pPr>
    <w:rPr>
      <w:b/>
      <w:spacing w:val="20"/>
      <w:sz w:val="28"/>
    </w:rPr>
  </w:style>
  <w:style w:type="paragraph" w:styleId="Heading3">
    <w:name w:val="heading 3"/>
    <w:basedOn w:val="Normal"/>
    <w:next w:val="NormalIndent"/>
    <w:qFormat/>
    <w:pPr>
      <w:outlineLvl w:val="2"/>
    </w:pPr>
    <w:rPr>
      <w:b/>
      <w:spacing w:val="20"/>
    </w:rPr>
  </w:style>
  <w:style w:type="paragraph" w:styleId="Heading4">
    <w:name w:val="heading 4"/>
    <w:basedOn w:val="Normal"/>
    <w:qFormat/>
    <w:pPr>
      <w:outlineLvl w:val="3"/>
    </w:pPr>
    <w:rPr>
      <w:i/>
    </w:rPr>
  </w:style>
  <w:style w:type="paragraph" w:styleId="Heading5">
    <w:name w:val="heading 5"/>
    <w:basedOn w:val="Normal"/>
    <w:next w:val="NormalIndent"/>
    <w:qFormat/>
    <w:pPr>
      <w:jc w:val="center"/>
      <w:outlineLvl w:val="4"/>
    </w:pPr>
    <w:rPr>
      <w:b/>
      <w:sz w:val="20"/>
    </w:rPr>
  </w:style>
  <w:style w:type="paragraph" w:styleId="Heading6">
    <w:name w:val="heading 6"/>
    <w:basedOn w:val="Normal"/>
    <w:next w:val="NormalIndent"/>
    <w:qFormat/>
    <w:pPr>
      <w:ind w:left="720"/>
      <w:outlineLvl w:val="5"/>
    </w:pPr>
    <w:rPr>
      <w:sz w:val="20"/>
      <w:u w:val="single"/>
    </w:rPr>
  </w:style>
  <w:style w:type="paragraph" w:styleId="Heading7">
    <w:name w:val="heading 7"/>
    <w:basedOn w:val="Normal"/>
    <w:next w:val="NormalIndent"/>
    <w:qFormat/>
    <w:pPr>
      <w:ind w:left="720"/>
      <w:outlineLvl w:val="6"/>
    </w:pPr>
    <w:rPr>
      <w:i/>
      <w:sz w:val="20"/>
    </w:rPr>
  </w:style>
  <w:style w:type="paragraph" w:styleId="Heading8">
    <w:name w:val="heading 8"/>
    <w:basedOn w:val="Normal"/>
    <w:next w:val="NormalIndent"/>
    <w:qFormat/>
    <w:pPr>
      <w:ind w:left="720"/>
      <w:outlineLvl w:val="7"/>
    </w:pPr>
    <w:rPr>
      <w:i/>
      <w:sz w:val="20"/>
    </w:rPr>
  </w:style>
  <w:style w:type="paragraph" w:styleId="Heading9">
    <w:name w:val="heading 9"/>
    <w:basedOn w:val="Normal"/>
    <w:next w:val="NormalIndent"/>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pPr>
      <w:ind w:left="720"/>
    </w:pPr>
  </w:style>
  <w:style w:type="paragraph" w:styleId="EndnoteText">
    <w:name w:val="endnote text"/>
    <w:basedOn w:val="Normal"/>
    <w:semiHidden/>
    <w:rPr>
      <w:sz w:val="20"/>
    </w:rPr>
  </w:style>
  <w:style w:type="paragraph" w:styleId="TOC4">
    <w:name w:val="toc 4"/>
    <w:basedOn w:val="Normal"/>
    <w:next w:val="Normal"/>
    <w:semiHidden/>
    <w:pPr>
      <w:tabs>
        <w:tab w:val="left" w:leader="dot" w:pos="8646"/>
        <w:tab w:val="right" w:pos="9072"/>
      </w:tabs>
      <w:ind w:left="2126" w:right="850"/>
    </w:pPr>
  </w:style>
  <w:style w:type="paragraph" w:styleId="TOC3">
    <w:name w:val="toc 3"/>
    <w:basedOn w:val="Normal"/>
    <w:next w:val="Normal"/>
    <w:semiHidden/>
    <w:pPr>
      <w:tabs>
        <w:tab w:val="left" w:leader="dot" w:pos="8646"/>
        <w:tab w:val="right" w:pos="9072"/>
      </w:tabs>
      <w:ind w:left="1418" w:right="850"/>
    </w:pPr>
  </w:style>
  <w:style w:type="paragraph" w:styleId="TOC2">
    <w:name w:val="toc 2"/>
    <w:basedOn w:val="Normal"/>
    <w:next w:val="Normal"/>
    <w:semiHidden/>
    <w:pPr>
      <w:tabs>
        <w:tab w:val="left" w:leader="dot" w:pos="8646"/>
        <w:tab w:val="right" w:pos="9072"/>
      </w:tabs>
      <w:ind w:left="709" w:right="850"/>
    </w:pPr>
  </w:style>
  <w:style w:type="paragraph" w:styleId="TOC1">
    <w:name w:val="toc 1"/>
    <w:basedOn w:val="Normal"/>
    <w:next w:val="Normal"/>
    <w:semiHidden/>
    <w:pPr>
      <w:tabs>
        <w:tab w:val="left" w:leader="dot" w:pos="8646"/>
        <w:tab w:val="right" w:pos="9072"/>
      </w:tabs>
      <w:ind w:right="850"/>
    </w:pPr>
  </w:style>
  <w:style w:type="paragraph" w:styleId="Footer">
    <w:name w:val="footer"/>
    <w:basedOn w:val="Normal"/>
    <w:semiHidden/>
    <w:pPr>
      <w:tabs>
        <w:tab w:val="center" w:pos="4819"/>
        <w:tab w:val="right" w:pos="9071"/>
      </w:tabs>
    </w:pPr>
  </w:style>
  <w:style w:type="paragraph" w:styleId="Header">
    <w:name w:val="header"/>
    <w:basedOn w:val="Normal"/>
    <w:semiHidden/>
    <w:pPr>
      <w:tabs>
        <w:tab w:val="center" w:pos="4819"/>
        <w:tab w:val="right" w:pos="9071"/>
      </w:tabs>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rPr>
      <w:sz w:val="20"/>
    </w:rPr>
  </w:style>
  <w:style w:type="paragraph" w:customStyle="1" w:styleId="indent">
    <w:name w:val="indent"/>
    <w:basedOn w:val="Normal"/>
    <w:pPr>
      <w:ind w:left="720" w:hanging="720"/>
    </w:pPr>
  </w:style>
  <w:style w:type="paragraph" w:styleId="ListParagraph">
    <w:name w:val="List Paragraph"/>
    <w:basedOn w:val="Normal"/>
    <w:uiPriority w:val="34"/>
    <w:qFormat/>
    <w:rsid w:val="00C07AD0"/>
    <w:pPr>
      <w:ind w:left="720"/>
      <w:contextualSpacing/>
    </w:pPr>
  </w:style>
  <w:style w:type="character" w:styleId="Hyperlink">
    <w:name w:val="Hyperlink"/>
    <w:basedOn w:val="DefaultParagraphFont"/>
    <w:uiPriority w:val="99"/>
    <w:unhideWhenUsed/>
    <w:rsid w:val="00CC6BD0"/>
    <w:rPr>
      <w:color w:val="0563C1" w:themeColor="hyperlink"/>
      <w:u w:val="single"/>
    </w:rPr>
  </w:style>
  <w:style w:type="character" w:styleId="UnresolvedMention">
    <w:name w:val="Unresolved Mention"/>
    <w:basedOn w:val="DefaultParagraphFont"/>
    <w:uiPriority w:val="99"/>
    <w:semiHidden/>
    <w:unhideWhenUsed/>
    <w:rsid w:val="00CC6B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604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energyrating.gov.au/document/inter-governmental-agreement-gems" TargetMode="External"/><Relationship Id="rId2" Type="http://schemas.openxmlformats.org/officeDocument/2006/relationships/hyperlink" Target="https://www.abcb.gov.au/Resources/Publications/Certification/WaterMark-Point-of-Sale-Feasibility-Study" TargetMode="External"/><Relationship Id="rId1" Type="http://schemas.openxmlformats.org/officeDocument/2006/relationships/hyperlink" Target="https://www.energyrating.gov.au/document/regulation-impact-statement-decision-smart-demand-response-capabilities-selected-appliances" TargetMode="External"/><Relationship Id="rId4" Type="http://schemas.openxmlformats.org/officeDocument/2006/relationships/hyperlink" Target="https://www.energyrating.gov.au/document/report-independent-review-gems-act-final-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EB4A3-D307-4732-87E5-145B09667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4</Pages>
  <Words>1488</Words>
  <Characters>8484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GWA letter template</vt:lpstr>
    </vt:vector>
  </TitlesOfParts>
  <Company>George Wilkenfeld</Company>
  <LinksUpToDate>false</LinksUpToDate>
  <CharactersWithSpaces>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GWA letter template</dc:title>
  <dc:subject/>
  <dc:creator>George Wilkenfeld</dc:creator>
  <cp:keywords/>
  <cp:lastModifiedBy>George Wilkenfeld</cp:lastModifiedBy>
  <cp:revision>4</cp:revision>
  <cp:lastPrinted>1899-12-31T13:00:00Z</cp:lastPrinted>
  <dcterms:created xsi:type="dcterms:W3CDTF">2020-08-02T23:23:00Z</dcterms:created>
  <dcterms:modified xsi:type="dcterms:W3CDTF">2020-08-17T05:10:00Z</dcterms:modified>
</cp:coreProperties>
</file>