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20F35E" w14:textId="77777777" w:rsidR="003B7A57" w:rsidRDefault="003B7A57" w:rsidP="003B7A57">
      <w:pPr>
        <w:spacing w:before="0"/>
        <w:ind w:left="0" w:right="28"/>
        <w:jc w:val="right"/>
        <w:rPr>
          <w:bCs/>
        </w:rPr>
      </w:pPr>
      <w:r>
        <w:rPr>
          <w:bCs/>
          <w:noProof/>
          <w:sz w:val="30"/>
          <w:szCs w:val="30"/>
        </w:rPr>
        <w:drawing>
          <wp:inline distT="0" distB="0" distL="0" distR="0" wp14:anchorId="6461E5D9" wp14:editId="1ABBAB79">
            <wp:extent cx="2861953" cy="78774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ttanLogo_right (PREFERRED).jpg"/>
                    <pic:cNvPicPr/>
                  </pic:nvPicPr>
                  <pic:blipFill>
                    <a:blip r:embed="rId11">
                      <a:extLst>
                        <a:ext uri="{28A0092B-C50C-407E-A947-70E740481C1C}">
                          <a14:useLocalDpi xmlns:a14="http://schemas.microsoft.com/office/drawing/2010/main" val="0"/>
                        </a:ext>
                      </a:extLst>
                    </a:blip>
                    <a:stretch>
                      <a:fillRect/>
                    </a:stretch>
                  </pic:blipFill>
                  <pic:spPr>
                    <a:xfrm>
                      <a:off x="0" y="0"/>
                      <a:ext cx="2864091" cy="788330"/>
                    </a:xfrm>
                    <a:prstGeom prst="rect">
                      <a:avLst/>
                    </a:prstGeom>
                  </pic:spPr>
                </pic:pic>
              </a:graphicData>
            </a:graphic>
          </wp:inline>
        </w:drawing>
      </w:r>
    </w:p>
    <w:p w14:paraId="0B250A09" w14:textId="77777777" w:rsidR="003B7A57" w:rsidRDefault="003B7A57" w:rsidP="003B7A57">
      <w:pPr>
        <w:spacing w:before="0"/>
        <w:ind w:left="0" w:right="28"/>
        <w:rPr>
          <w:bCs/>
        </w:rPr>
      </w:pPr>
    </w:p>
    <w:p w14:paraId="26FEA72E" w14:textId="77777777" w:rsidR="003B7A57" w:rsidRDefault="003B7A57" w:rsidP="003B7A57">
      <w:pPr>
        <w:spacing w:before="0"/>
        <w:ind w:left="0" w:right="28"/>
        <w:rPr>
          <w:bCs/>
        </w:rPr>
      </w:pPr>
      <w:r>
        <w:rPr>
          <w:bCs/>
          <w:noProof/>
        </w:rPr>
        <mc:AlternateContent>
          <mc:Choice Requires="wps">
            <w:drawing>
              <wp:anchor distT="0" distB="0" distL="114300" distR="114300" simplePos="0" relativeHeight="251662336" behindDoc="0" locked="0" layoutInCell="1" allowOverlap="1" wp14:anchorId="2CADFB2E" wp14:editId="2989CC5C">
                <wp:simplePos x="0" y="0"/>
                <wp:positionH relativeFrom="column">
                  <wp:posOffset>-18968</wp:posOffset>
                </wp:positionH>
                <wp:positionV relativeFrom="paragraph">
                  <wp:posOffset>1270</wp:posOffset>
                </wp:positionV>
                <wp:extent cx="8645237" cy="0"/>
                <wp:effectExtent l="0" t="0" r="22860" b="19050"/>
                <wp:wrapNone/>
                <wp:docPr id="14" name="Straight Connector 14"/>
                <wp:cNvGraphicFramePr/>
                <a:graphic xmlns:a="http://schemas.openxmlformats.org/drawingml/2006/main">
                  <a:graphicData uri="http://schemas.microsoft.com/office/word/2010/wordprocessingShape">
                    <wps:wsp>
                      <wps:cNvCnPr/>
                      <wps:spPr>
                        <a:xfrm flipH="1">
                          <a:off x="0" y="0"/>
                          <a:ext cx="8645237" cy="0"/>
                        </a:xfrm>
                        <a:prstGeom prst="line">
                          <a:avLst/>
                        </a:prstGeom>
                        <a:ln w="1905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1310D9" id="Straight Connector 14"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1.5pt,.1pt" to="679.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" strokecolor="#f3901d [3208]" strokeweight="1.5pt"/>
            </w:pict>
          </mc:Fallback>
        </mc:AlternateContent>
      </w:r>
    </w:p>
    <w:p w14:paraId="12606280" w14:textId="77777777" w:rsidR="00C848CC" w:rsidRDefault="00C848CC" w:rsidP="003B7A57">
      <w:pPr>
        <w:spacing w:before="0"/>
        <w:ind w:left="0" w:right="28"/>
        <w:rPr>
          <w:bCs/>
        </w:rPr>
      </w:pPr>
    </w:p>
    <w:p w14:paraId="16AF8814" w14:textId="1E2793B1" w:rsidR="003B7A57" w:rsidRPr="003B7A57" w:rsidRDefault="007F1E82" w:rsidP="003B7A57">
      <w:pPr>
        <w:spacing w:before="0"/>
        <w:ind w:left="0" w:right="28"/>
        <w:rPr>
          <w:bCs/>
        </w:rPr>
      </w:pPr>
      <w:r>
        <w:rPr>
          <w:bCs/>
        </w:rPr>
        <w:t>October</w:t>
      </w:r>
      <w:r w:rsidR="00783B3F">
        <w:rPr>
          <w:bCs/>
        </w:rPr>
        <w:t xml:space="preserve"> </w:t>
      </w:r>
      <w:r w:rsidR="00C23FD3">
        <w:rPr>
          <w:bCs/>
        </w:rPr>
        <w:t>20</w:t>
      </w:r>
      <w:r w:rsidR="00783B3F">
        <w:rPr>
          <w:bCs/>
        </w:rPr>
        <w:t>20</w:t>
      </w:r>
    </w:p>
    <w:p w14:paraId="6704329B" w14:textId="77777777" w:rsidR="003B7A57" w:rsidRDefault="003B7A57" w:rsidP="003B7A57">
      <w:pPr>
        <w:spacing w:before="0"/>
        <w:ind w:left="0" w:right="28"/>
        <w:rPr>
          <w:bCs/>
          <w:sz w:val="30"/>
          <w:szCs w:val="30"/>
        </w:rPr>
      </w:pPr>
    </w:p>
    <w:p w14:paraId="27164382" w14:textId="77777777" w:rsidR="003B7A57" w:rsidRDefault="003B7A57" w:rsidP="003B7A57">
      <w:pPr>
        <w:spacing w:before="0"/>
        <w:ind w:left="0" w:right="28"/>
        <w:rPr>
          <w:bCs/>
          <w:sz w:val="30"/>
          <w:szCs w:val="30"/>
        </w:rPr>
      </w:pPr>
    </w:p>
    <w:p w14:paraId="1C289045" w14:textId="77777777" w:rsidR="003B7A57" w:rsidRDefault="003B7A57" w:rsidP="003B7A57">
      <w:pPr>
        <w:spacing w:before="0"/>
        <w:ind w:left="0" w:right="28"/>
        <w:rPr>
          <w:bCs/>
          <w:sz w:val="30"/>
          <w:szCs w:val="30"/>
        </w:rPr>
      </w:pPr>
    </w:p>
    <w:p w14:paraId="5B3369D4" w14:textId="7DDD0917" w:rsidR="0083553A" w:rsidRPr="001D78C7" w:rsidRDefault="005C6D2F" w:rsidP="003B7A57">
      <w:pPr>
        <w:spacing w:before="0"/>
        <w:ind w:left="0" w:right="28"/>
        <w:rPr>
          <w:b/>
          <w:bCs/>
          <w:sz w:val="32"/>
          <w:szCs w:val="32"/>
        </w:rPr>
      </w:pPr>
      <w:r>
        <w:rPr>
          <w:b/>
          <w:bCs/>
          <w:sz w:val="32"/>
          <w:szCs w:val="32"/>
        </w:rPr>
        <w:t>Target</w:t>
      </w:r>
      <w:r w:rsidR="0086588E">
        <w:rPr>
          <w:b/>
          <w:bCs/>
          <w:sz w:val="32"/>
          <w:szCs w:val="32"/>
        </w:rPr>
        <w:t>ed, incremental reforms</w:t>
      </w:r>
      <w:r w:rsidR="00F950E7">
        <w:rPr>
          <w:b/>
          <w:bCs/>
          <w:sz w:val="32"/>
          <w:szCs w:val="32"/>
        </w:rPr>
        <w:t xml:space="preserve"> is the</w:t>
      </w:r>
      <w:r w:rsidR="0086588E">
        <w:rPr>
          <w:b/>
          <w:bCs/>
          <w:sz w:val="32"/>
          <w:szCs w:val="32"/>
        </w:rPr>
        <w:t xml:space="preserve"> best way forward for the National Electricity Market</w:t>
      </w:r>
      <w:r w:rsidR="00AC0149">
        <w:rPr>
          <w:b/>
          <w:bCs/>
          <w:sz w:val="32"/>
          <w:szCs w:val="32"/>
        </w:rPr>
        <w:t xml:space="preserve"> </w:t>
      </w:r>
    </w:p>
    <w:p w14:paraId="5E6FBDC9" w14:textId="77777777" w:rsidR="003B7A57" w:rsidRPr="00394770" w:rsidRDefault="003B7A57" w:rsidP="003B7A57">
      <w:pPr>
        <w:spacing w:before="0"/>
        <w:ind w:left="0" w:right="28"/>
        <w:rPr>
          <w:b/>
          <w:bCs/>
          <w:sz w:val="32"/>
          <w:szCs w:val="32"/>
        </w:rPr>
      </w:pPr>
    </w:p>
    <w:p w14:paraId="223EC9F3" w14:textId="35035B18" w:rsidR="00BD4E26" w:rsidRDefault="00BD4E26" w:rsidP="003B7A57">
      <w:pPr>
        <w:spacing w:before="0"/>
        <w:ind w:left="0" w:right="28"/>
        <w:rPr>
          <w:bCs/>
          <w:sz w:val="28"/>
          <w:szCs w:val="28"/>
        </w:rPr>
      </w:pPr>
      <w:r>
        <w:rPr>
          <w:bCs/>
          <w:sz w:val="28"/>
          <w:szCs w:val="28"/>
        </w:rPr>
        <w:t xml:space="preserve">Author: </w:t>
      </w:r>
      <w:r w:rsidR="00F6324C">
        <w:rPr>
          <w:bCs/>
          <w:sz w:val="28"/>
          <w:szCs w:val="28"/>
        </w:rPr>
        <w:t xml:space="preserve">Tony Wood, </w:t>
      </w:r>
      <w:r>
        <w:rPr>
          <w:bCs/>
          <w:sz w:val="28"/>
          <w:szCs w:val="28"/>
        </w:rPr>
        <w:t xml:space="preserve">Energy Program Director, </w:t>
      </w:r>
      <w:r w:rsidR="007F1E82">
        <w:rPr>
          <w:bCs/>
          <w:sz w:val="28"/>
          <w:szCs w:val="28"/>
        </w:rPr>
        <w:t xml:space="preserve">and Guy Dundas, Energy Fellow, </w:t>
      </w:r>
      <w:r w:rsidR="00B87D6B">
        <w:rPr>
          <w:bCs/>
          <w:sz w:val="28"/>
          <w:szCs w:val="28"/>
        </w:rPr>
        <w:t xml:space="preserve">Grattan Institute </w:t>
      </w:r>
    </w:p>
    <w:p w14:paraId="7B8451D5" w14:textId="77777777" w:rsidR="00BD4E26" w:rsidRDefault="00BD4E26" w:rsidP="003B7A57">
      <w:pPr>
        <w:spacing w:before="0"/>
        <w:ind w:left="0" w:right="28"/>
        <w:rPr>
          <w:bCs/>
          <w:sz w:val="28"/>
          <w:szCs w:val="28"/>
        </w:rPr>
      </w:pPr>
    </w:p>
    <w:p w14:paraId="7FD0A4B4" w14:textId="0AD38B1F" w:rsidR="003B7A57" w:rsidRPr="001D78C7" w:rsidRDefault="00BD4E26" w:rsidP="003B7A57">
      <w:pPr>
        <w:spacing w:before="0"/>
        <w:ind w:left="0" w:right="28"/>
        <w:rPr>
          <w:bCs/>
          <w:sz w:val="28"/>
          <w:szCs w:val="28"/>
        </w:rPr>
      </w:pPr>
      <w:r>
        <w:rPr>
          <w:bCs/>
          <w:sz w:val="28"/>
          <w:szCs w:val="28"/>
        </w:rPr>
        <w:t>R</w:t>
      </w:r>
      <w:r w:rsidR="00B87D6B">
        <w:rPr>
          <w:bCs/>
          <w:sz w:val="28"/>
          <w:szCs w:val="28"/>
        </w:rPr>
        <w:t xml:space="preserve">esponse to the </w:t>
      </w:r>
      <w:r w:rsidR="007F1E82">
        <w:rPr>
          <w:bCs/>
          <w:sz w:val="28"/>
          <w:szCs w:val="28"/>
        </w:rPr>
        <w:t xml:space="preserve">Consultation Paper: </w:t>
      </w:r>
      <w:r w:rsidR="002F0FD9">
        <w:rPr>
          <w:bCs/>
          <w:sz w:val="28"/>
          <w:szCs w:val="28"/>
        </w:rPr>
        <w:t>“Post 2025 Market Design”</w:t>
      </w:r>
      <w:r w:rsidR="008A48E3">
        <w:rPr>
          <w:bCs/>
          <w:sz w:val="28"/>
          <w:szCs w:val="28"/>
        </w:rPr>
        <w:t xml:space="preserve"> released by the </w:t>
      </w:r>
      <w:r w:rsidR="002F0FD9">
        <w:rPr>
          <w:bCs/>
          <w:sz w:val="28"/>
          <w:szCs w:val="28"/>
        </w:rPr>
        <w:t>Energy Security Board in September 2020</w:t>
      </w:r>
      <w:r w:rsidR="008A48E3">
        <w:rPr>
          <w:bCs/>
          <w:sz w:val="28"/>
          <w:szCs w:val="28"/>
        </w:rPr>
        <w:t>.</w:t>
      </w:r>
    </w:p>
    <w:p w14:paraId="024B81AF" w14:textId="77777777" w:rsidR="003B7A57" w:rsidRDefault="003B7A57" w:rsidP="003B7A57">
      <w:pPr>
        <w:spacing w:before="0"/>
        <w:ind w:left="0" w:right="28"/>
        <w:rPr>
          <w:bCs/>
          <w:sz w:val="30"/>
          <w:szCs w:val="30"/>
        </w:rPr>
      </w:pPr>
    </w:p>
    <w:p w14:paraId="25BAC675" w14:textId="77777777" w:rsidR="00F12BF2" w:rsidRPr="003B7A57" w:rsidRDefault="00F12BF2" w:rsidP="00B11BA6">
      <w:pPr>
        <w:spacing w:before="0"/>
        <w:ind w:left="0" w:right="28"/>
        <w:sectPr w:rsidR="00F12BF2" w:rsidRPr="003B7A57" w:rsidSect="00B8212C">
          <w:headerReference w:type="even" r:id="rId12"/>
          <w:headerReference w:type="default" r:id="rId13"/>
          <w:footerReference w:type="even" r:id="rId14"/>
          <w:footerReference w:type="default" r:id="rId15"/>
          <w:headerReference w:type="first" r:id="rId16"/>
          <w:footerReference w:type="first" r:id="rId17"/>
          <w:endnotePr>
            <w:numFmt w:val="decimal"/>
          </w:endnotePr>
          <w:pgSz w:w="16838" w:h="11906" w:orient="landscape"/>
          <w:pgMar w:top="1418" w:right="1616" w:bottom="1588" w:left="1616" w:header="851" w:footer="1191" w:gutter="0"/>
          <w:pgNumType w:start="1"/>
          <w:cols w:space="708"/>
          <w:titlePg/>
          <w:docGrid w:linePitch="360"/>
        </w:sectPr>
      </w:pPr>
    </w:p>
    <w:p w14:paraId="52FA9262" w14:textId="69C4734B" w:rsidR="00394770" w:rsidRDefault="00394770" w:rsidP="001D78C7">
      <w:pPr>
        <w:ind w:left="0"/>
      </w:pPr>
      <w:bookmarkStart w:id="0" w:name="_Toc259022864"/>
      <w:bookmarkStart w:id="1" w:name="_Toc259023048"/>
      <w:bookmarkStart w:id="2" w:name="_Toc259023191"/>
      <w:bookmarkStart w:id="3" w:name="_Toc259023307"/>
      <w:bookmarkStart w:id="4" w:name="_Toc259022865"/>
      <w:bookmarkStart w:id="5" w:name="_Toc259023049"/>
      <w:bookmarkStart w:id="6" w:name="_Toc259023192"/>
      <w:bookmarkStart w:id="7" w:name="_Toc259023308"/>
      <w:r>
        <w:t xml:space="preserve">There are no restrictions on publication of this submission or requirements for anonymity. The submission contains no personal information of </w:t>
      </w:r>
      <w:r w:rsidR="00791E0F">
        <w:t>third-party</w:t>
      </w:r>
      <w:r>
        <w:t xml:space="preserve"> individuals.</w:t>
      </w:r>
    </w:p>
    <w:p w14:paraId="71CE9370" w14:textId="77777777" w:rsidR="001D78C7" w:rsidRDefault="001D78C7" w:rsidP="00394770">
      <w:pPr>
        <w:ind w:hanging="851"/>
        <w:rPr>
          <w:b/>
        </w:rPr>
        <w:sectPr w:rsidR="001D78C7" w:rsidSect="001D78C7">
          <w:footerReference w:type="default" r:id="rId18"/>
          <w:endnotePr>
            <w:numFmt w:val="decimal"/>
          </w:endnotePr>
          <w:type w:val="continuous"/>
          <w:pgSz w:w="16838" w:h="11906" w:orient="landscape"/>
          <w:pgMar w:top="2155" w:right="1616" w:bottom="1588" w:left="1616" w:header="851" w:footer="1191" w:gutter="0"/>
          <w:pgNumType w:start="1"/>
          <w:cols w:space="708"/>
          <w:docGrid w:linePitch="360"/>
        </w:sectPr>
      </w:pPr>
    </w:p>
    <w:p w14:paraId="1CFB27BA" w14:textId="77777777" w:rsidR="007F3C69" w:rsidRPr="0004206E" w:rsidRDefault="007F3C69" w:rsidP="00C3596B">
      <w:pPr>
        <w:spacing w:before="0"/>
        <w:ind w:left="0"/>
        <w:rPr>
          <w:rStyle w:val="Heading2Char"/>
          <w:bCs w:val="0"/>
          <w:sz w:val="30"/>
          <w:szCs w:val="30"/>
        </w:rPr>
        <w:sectPr w:rsidR="007F3C69" w:rsidRPr="0004206E" w:rsidSect="00832976">
          <w:endnotePr>
            <w:numFmt w:val="decimal"/>
          </w:endnotePr>
          <w:type w:val="continuous"/>
          <w:pgSz w:w="16838" w:h="11906" w:orient="landscape"/>
          <w:pgMar w:top="2155" w:right="1616" w:bottom="1588" w:left="1616" w:header="851" w:footer="1191" w:gutter="0"/>
          <w:pgNumType w:start="1"/>
          <w:cols w:num="2" w:space="708"/>
          <w:docGrid w:linePitch="360"/>
        </w:sectPr>
      </w:pPr>
    </w:p>
    <w:bookmarkEnd w:id="0"/>
    <w:bookmarkEnd w:id="1"/>
    <w:bookmarkEnd w:id="2"/>
    <w:bookmarkEnd w:id="3"/>
    <w:bookmarkEnd w:id="4"/>
    <w:bookmarkEnd w:id="5"/>
    <w:bookmarkEnd w:id="6"/>
    <w:bookmarkEnd w:id="7"/>
    <w:p w14:paraId="629D6688" w14:textId="12EBA1A5" w:rsidR="007D388A" w:rsidRDefault="007D388A" w:rsidP="00FC19F3">
      <w:pPr>
        <w:spacing w:before="0"/>
        <w:ind w:left="0"/>
        <w:rPr>
          <w:b/>
          <w:bCs/>
          <w:color w:val="F3901D"/>
          <w:kern w:val="32"/>
          <w:sz w:val="30"/>
          <w:szCs w:val="30"/>
        </w:rPr>
      </w:pPr>
      <w:r>
        <w:br w:type="page"/>
      </w:r>
    </w:p>
    <w:p w14:paraId="6A2FBDBE" w14:textId="4C909B2A" w:rsidR="00394770" w:rsidRDefault="00394770" w:rsidP="001B69F3">
      <w:pPr>
        <w:pStyle w:val="Heading1"/>
      </w:pPr>
      <w:r>
        <w:lastRenderedPageBreak/>
        <w:t xml:space="preserve">Summary </w:t>
      </w:r>
    </w:p>
    <w:p w14:paraId="5AD8F74E" w14:textId="77777777" w:rsidR="007D388A" w:rsidRDefault="007D388A" w:rsidP="00F936AE">
      <w:pPr>
        <w:pStyle w:val="NormalWeb"/>
        <w:numPr>
          <w:ilvl w:val="0"/>
          <w:numId w:val="32"/>
        </w:numPr>
        <w:shd w:val="clear" w:color="auto" w:fill="FFFFFF"/>
        <w:spacing w:before="0" w:beforeAutospacing="0" w:after="0" w:afterAutospacing="0"/>
        <w:rPr>
          <w:rFonts w:ascii="Arial" w:hAnsi="Arial" w:cs="Arial"/>
          <w:sz w:val="22"/>
          <w:szCs w:val="22"/>
        </w:rPr>
        <w:sectPr w:rsidR="007D388A" w:rsidSect="00B8212C">
          <w:footerReference w:type="default" r:id="rId19"/>
          <w:endnotePr>
            <w:numFmt w:val="decimal"/>
          </w:endnotePr>
          <w:type w:val="continuous"/>
          <w:pgSz w:w="16838" w:h="11906" w:orient="landscape"/>
          <w:pgMar w:top="2155" w:right="1616" w:bottom="1588" w:left="1616" w:header="851" w:footer="1191" w:gutter="0"/>
          <w:pgNumType w:start="1"/>
          <w:cols w:space="708"/>
          <w:docGrid w:linePitch="360"/>
        </w:sectPr>
      </w:pPr>
    </w:p>
    <w:p w14:paraId="4DED34D4" w14:textId="01530F16" w:rsidR="00237E5F" w:rsidRDefault="008369F6" w:rsidP="00237E5F">
      <w:pPr>
        <w:ind w:left="0"/>
        <w:rPr>
          <w:sz w:val="22"/>
          <w:szCs w:val="22"/>
        </w:rPr>
      </w:pPr>
      <w:r>
        <w:rPr>
          <w:sz w:val="22"/>
          <w:szCs w:val="22"/>
        </w:rPr>
        <w:t xml:space="preserve">The Energy Security Board </w:t>
      </w:r>
      <w:r w:rsidR="007C5C45">
        <w:rPr>
          <w:sz w:val="22"/>
          <w:szCs w:val="22"/>
        </w:rPr>
        <w:t xml:space="preserve">(ESB) </w:t>
      </w:r>
      <w:r>
        <w:rPr>
          <w:sz w:val="22"/>
          <w:szCs w:val="22"/>
        </w:rPr>
        <w:t xml:space="preserve">has published </w:t>
      </w:r>
      <w:r w:rsidR="00F911C3">
        <w:rPr>
          <w:sz w:val="22"/>
          <w:szCs w:val="22"/>
        </w:rPr>
        <w:t xml:space="preserve">a </w:t>
      </w:r>
      <w:r w:rsidR="00237E5F">
        <w:rPr>
          <w:sz w:val="22"/>
          <w:szCs w:val="22"/>
        </w:rPr>
        <w:t>Consultation Paper set</w:t>
      </w:r>
      <w:r w:rsidR="007C5C45">
        <w:rPr>
          <w:sz w:val="22"/>
          <w:szCs w:val="22"/>
        </w:rPr>
        <w:t>ting</w:t>
      </w:r>
      <w:r w:rsidR="00237E5F">
        <w:rPr>
          <w:sz w:val="22"/>
          <w:szCs w:val="22"/>
        </w:rPr>
        <w:t xml:space="preserve"> out </w:t>
      </w:r>
      <w:r>
        <w:rPr>
          <w:sz w:val="22"/>
          <w:szCs w:val="22"/>
        </w:rPr>
        <w:t xml:space="preserve">a comprehensive work program </w:t>
      </w:r>
      <w:r w:rsidR="00237E5F">
        <w:rPr>
          <w:sz w:val="22"/>
          <w:szCs w:val="22"/>
        </w:rPr>
        <w:t xml:space="preserve">to ensure the National Electricity Market </w:t>
      </w:r>
      <w:r w:rsidR="007C5C45">
        <w:rPr>
          <w:sz w:val="22"/>
          <w:szCs w:val="22"/>
        </w:rPr>
        <w:t xml:space="preserve">(NEM) </w:t>
      </w:r>
      <w:r w:rsidR="00237E5F">
        <w:rPr>
          <w:sz w:val="22"/>
          <w:szCs w:val="22"/>
        </w:rPr>
        <w:t xml:space="preserve">delivers secure and reliable power at least cost to consumers and accommodates the changes underway and expected in the future. </w:t>
      </w:r>
    </w:p>
    <w:p w14:paraId="10897F68" w14:textId="638C4CE9" w:rsidR="007C5C45" w:rsidRDefault="007C5C45" w:rsidP="00237E5F">
      <w:pPr>
        <w:ind w:left="0"/>
        <w:rPr>
          <w:sz w:val="22"/>
          <w:szCs w:val="22"/>
        </w:rPr>
      </w:pPr>
      <w:r>
        <w:rPr>
          <w:sz w:val="22"/>
          <w:szCs w:val="22"/>
        </w:rPr>
        <w:t>It is valuable to have a full suite of market design initiatives in a single agenda. This enable</w:t>
      </w:r>
      <w:r w:rsidR="00F911C3">
        <w:rPr>
          <w:sz w:val="22"/>
          <w:szCs w:val="22"/>
        </w:rPr>
        <w:t>s</w:t>
      </w:r>
      <w:r>
        <w:rPr>
          <w:sz w:val="22"/>
          <w:szCs w:val="22"/>
        </w:rPr>
        <w:t xml:space="preserve"> priorities to be set and interdependencies to be managed. It is more important to have a focused work program that priorit</w:t>
      </w:r>
      <w:r w:rsidR="00F911C3">
        <w:rPr>
          <w:sz w:val="22"/>
          <w:szCs w:val="22"/>
        </w:rPr>
        <w:t>ises</w:t>
      </w:r>
      <w:r>
        <w:rPr>
          <w:sz w:val="22"/>
          <w:szCs w:val="22"/>
        </w:rPr>
        <w:t xml:space="preserve"> the most significant and most urgent reforms. This approach is envisaged by the ESB and should be adopted by the National Cabinet Energy Reform Committee.</w:t>
      </w:r>
    </w:p>
    <w:p w14:paraId="38AD2FC6" w14:textId="324D9275" w:rsidR="007C5C45" w:rsidRDefault="007C5C45" w:rsidP="00237E5F">
      <w:pPr>
        <w:ind w:left="0"/>
        <w:rPr>
          <w:sz w:val="22"/>
          <w:szCs w:val="22"/>
        </w:rPr>
      </w:pPr>
      <w:r>
        <w:rPr>
          <w:sz w:val="22"/>
          <w:szCs w:val="22"/>
        </w:rPr>
        <w:t>The benefits market reforms that emerge from the post 2025 market reform project will be negated if jurisdictional governments, Commonwealth, state</w:t>
      </w:r>
      <w:r w:rsidR="00F911C3">
        <w:rPr>
          <w:sz w:val="22"/>
          <w:szCs w:val="22"/>
        </w:rPr>
        <w:t>,</w:t>
      </w:r>
      <w:r>
        <w:rPr>
          <w:sz w:val="22"/>
          <w:szCs w:val="22"/>
        </w:rPr>
        <w:t xml:space="preserve"> or territory, pursue unilateral actions that intervene in the markets in the way </w:t>
      </w:r>
      <w:r w:rsidR="00F911C3">
        <w:rPr>
          <w:sz w:val="22"/>
          <w:szCs w:val="22"/>
        </w:rPr>
        <w:t xml:space="preserve">of </w:t>
      </w:r>
      <w:r>
        <w:rPr>
          <w:sz w:val="22"/>
          <w:szCs w:val="22"/>
        </w:rPr>
        <w:t xml:space="preserve">the last few years. Policy uncertainty and government interventions are the greatest risk to efficient investment and </w:t>
      </w:r>
      <w:r w:rsidR="00F911C3">
        <w:rPr>
          <w:sz w:val="22"/>
          <w:szCs w:val="22"/>
        </w:rPr>
        <w:t xml:space="preserve">achieving </w:t>
      </w:r>
      <w:r>
        <w:rPr>
          <w:sz w:val="22"/>
          <w:szCs w:val="22"/>
        </w:rPr>
        <w:t>the desired objective of the NEM.</w:t>
      </w:r>
    </w:p>
    <w:p w14:paraId="0BFEAC81" w14:textId="3B52E1B7" w:rsidR="00237E5F" w:rsidRDefault="00237E5F" w:rsidP="00237E5F">
      <w:pPr>
        <w:ind w:left="0"/>
        <w:rPr>
          <w:sz w:val="22"/>
          <w:szCs w:val="22"/>
        </w:rPr>
      </w:pPr>
      <w:r>
        <w:rPr>
          <w:sz w:val="22"/>
          <w:szCs w:val="22"/>
        </w:rPr>
        <w:t>This submission provides our response to the issues and draft positions in the Consultation Paper</w:t>
      </w:r>
      <w:r w:rsidR="007C5C45">
        <w:rPr>
          <w:sz w:val="22"/>
          <w:szCs w:val="22"/>
        </w:rPr>
        <w:t>.</w:t>
      </w:r>
      <w:r w:rsidR="002E7CC4">
        <w:rPr>
          <w:sz w:val="22"/>
          <w:szCs w:val="22"/>
        </w:rPr>
        <w:t xml:space="preserve"> We have made specific recommendations on three of the market design initiatives:</w:t>
      </w:r>
    </w:p>
    <w:p w14:paraId="7C6D0AA1" w14:textId="77777777" w:rsidR="009C3818" w:rsidRPr="00237E5F" w:rsidRDefault="009C3818" w:rsidP="00D60367">
      <w:pPr>
        <w:ind w:left="0"/>
        <w:rPr>
          <w:sz w:val="22"/>
          <w:szCs w:val="22"/>
        </w:rPr>
      </w:pPr>
    </w:p>
    <w:p w14:paraId="5081F762" w14:textId="1D80FDD5" w:rsidR="002E7CC4" w:rsidRDefault="002E7CC4" w:rsidP="00237E5F">
      <w:pPr>
        <w:pStyle w:val="ListParagraph"/>
        <w:numPr>
          <w:ilvl w:val="0"/>
          <w:numId w:val="32"/>
        </w:numPr>
        <w:rPr>
          <w:rFonts w:ascii="Arial" w:hAnsi="Arial" w:cs="Arial"/>
        </w:rPr>
      </w:pPr>
      <w:r>
        <w:rPr>
          <w:rFonts w:ascii="Arial" w:hAnsi="Arial" w:cs="Arial"/>
        </w:rPr>
        <w:t>To deliver resource adequacy, the paper has abandoned the notion of a centralised capacity auction</w:t>
      </w:r>
      <w:r w:rsidR="00F42B04">
        <w:rPr>
          <w:rFonts w:ascii="Arial" w:hAnsi="Arial" w:cs="Arial"/>
        </w:rPr>
        <w:t>, with a central agency both determining reliability requirements and procuring capacity</w:t>
      </w:r>
      <w:r>
        <w:rPr>
          <w:rFonts w:ascii="Arial" w:hAnsi="Arial" w:cs="Arial"/>
        </w:rPr>
        <w:t xml:space="preserve">. </w:t>
      </w:r>
      <w:r w:rsidR="00F42B04">
        <w:rPr>
          <w:rFonts w:ascii="Arial" w:hAnsi="Arial" w:cs="Arial"/>
        </w:rPr>
        <w:t xml:space="preserve">But in a ‘decentralised’ approach, there remains an important </w:t>
      </w:r>
      <w:r w:rsidR="00E37C05" w:rsidRPr="00237E5F">
        <w:rPr>
          <w:rFonts w:ascii="Arial" w:hAnsi="Arial" w:cs="Arial"/>
        </w:rPr>
        <w:t xml:space="preserve"> choice between </w:t>
      </w:r>
      <w:r>
        <w:rPr>
          <w:rFonts w:ascii="Arial" w:hAnsi="Arial" w:cs="Arial"/>
        </w:rPr>
        <w:t xml:space="preserve">a </w:t>
      </w:r>
      <w:r w:rsidR="00E37C05" w:rsidRPr="00237E5F">
        <w:rPr>
          <w:rFonts w:ascii="Arial" w:hAnsi="Arial" w:cs="Arial"/>
        </w:rPr>
        <w:t xml:space="preserve">central agency setting future </w:t>
      </w:r>
      <w:r w:rsidR="00F42B04">
        <w:rPr>
          <w:rFonts w:ascii="Arial" w:hAnsi="Arial" w:cs="Arial"/>
        </w:rPr>
        <w:t xml:space="preserve">capacity </w:t>
      </w:r>
      <w:r w:rsidR="00E37C05" w:rsidRPr="00237E5F">
        <w:rPr>
          <w:rFonts w:ascii="Arial" w:hAnsi="Arial" w:cs="Arial"/>
        </w:rPr>
        <w:t xml:space="preserve">requirements </w:t>
      </w:r>
      <w:r w:rsidR="00F42B04">
        <w:rPr>
          <w:rFonts w:ascii="Arial" w:hAnsi="Arial" w:cs="Arial"/>
        </w:rPr>
        <w:t>and requiring</w:t>
      </w:r>
      <w:r w:rsidR="00E37C05" w:rsidRPr="00237E5F">
        <w:rPr>
          <w:rFonts w:ascii="Arial" w:hAnsi="Arial" w:cs="Arial"/>
        </w:rPr>
        <w:t xml:space="preserve"> market participants</w:t>
      </w:r>
      <w:r w:rsidR="00F42B04">
        <w:rPr>
          <w:rFonts w:ascii="Arial" w:hAnsi="Arial" w:cs="Arial"/>
        </w:rPr>
        <w:t xml:space="preserve"> to procure this capacity, o</w:t>
      </w:r>
      <w:r w:rsidR="00E37C05" w:rsidRPr="00237E5F">
        <w:rPr>
          <w:rFonts w:ascii="Arial" w:hAnsi="Arial" w:cs="Arial"/>
        </w:rPr>
        <w:t xml:space="preserve">r market participants </w:t>
      </w:r>
      <w:r w:rsidR="00F42B04">
        <w:rPr>
          <w:rFonts w:ascii="Arial" w:hAnsi="Arial" w:cs="Arial"/>
        </w:rPr>
        <w:t xml:space="preserve">determining what resources to procure to avoid </w:t>
      </w:r>
      <w:r w:rsidR="00E37C05" w:rsidRPr="00237E5F">
        <w:rPr>
          <w:rFonts w:ascii="Arial" w:hAnsi="Arial" w:cs="Arial"/>
        </w:rPr>
        <w:t xml:space="preserve">penalties </w:t>
      </w:r>
      <w:r w:rsidR="00F42B04">
        <w:rPr>
          <w:rFonts w:ascii="Arial" w:hAnsi="Arial" w:cs="Arial"/>
        </w:rPr>
        <w:t>for contributing to poor reliability</w:t>
      </w:r>
      <w:r w:rsidR="00E37C05" w:rsidRPr="00237E5F">
        <w:rPr>
          <w:rFonts w:ascii="Arial" w:hAnsi="Arial" w:cs="Arial"/>
        </w:rPr>
        <w:t xml:space="preserve">. </w:t>
      </w:r>
      <w:r>
        <w:rPr>
          <w:rFonts w:ascii="Arial" w:hAnsi="Arial" w:cs="Arial"/>
        </w:rPr>
        <w:t xml:space="preserve">We recommend </w:t>
      </w:r>
      <w:r w:rsidR="00F42B04">
        <w:rPr>
          <w:rFonts w:ascii="Arial" w:hAnsi="Arial" w:cs="Arial"/>
        </w:rPr>
        <w:t xml:space="preserve">the latter approach, on the grounds that it better protects consumers from </w:t>
      </w:r>
      <w:r w:rsidR="00B56EE1">
        <w:rPr>
          <w:rFonts w:ascii="Arial" w:hAnsi="Arial" w:cs="Arial"/>
        </w:rPr>
        <w:t>mis-</w:t>
      </w:r>
      <w:r w:rsidR="00F42B04">
        <w:rPr>
          <w:rFonts w:ascii="Arial" w:hAnsi="Arial" w:cs="Arial"/>
        </w:rPr>
        <w:t>specified reliability requirements.</w:t>
      </w:r>
    </w:p>
    <w:p w14:paraId="53FD47B6" w14:textId="422BAB20" w:rsidR="001B69F3" w:rsidRDefault="00F664CD" w:rsidP="00F664CD">
      <w:pPr>
        <w:pStyle w:val="ListParagraph"/>
        <w:numPr>
          <w:ilvl w:val="0"/>
          <w:numId w:val="32"/>
        </w:numPr>
        <w:rPr>
          <w:rFonts w:ascii="Arial" w:hAnsi="Arial" w:cs="Arial"/>
        </w:rPr>
      </w:pPr>
      <w:r>
        <w:rPr>
          <w:rFonts w:ascii="Arial" w:hAnsi="Arial" w:cs="Arial"/>
        </w:rPr>
        <w:t>The exit of ageing coal-fired power plants is a concern for governments and some industry participants. We recommend that the current notice of closure rules be strengthened with a financial obligation on generators to comply with their own nominated closure dates.</w:t>
      </w:r>
    </w:p>
    <w:p w14:paraId="4690B3F8" w14:textId="6D462490" w:rsidR="00582D19" w:rsidRDefault="00F664CD" w:rsidP="008721BA">
      <w:pPr>
        <w:pStyle w:val="ListParagraph"/>
        <w:numPr>
          <w:ilvl w:val="0"/>
          <w:numId w:val="32"/>
        </w:numPr>
        <w:sectPr w:rsidR="00582D19" w:rsidSect="001B69F3">
          <w:endnotePr>
            <w:numFmt w:val="decimal"/>
          </w:endnotePr>
          <w:type w:val="continuous"/>
          <w:pgSz w:w="16838" w:h="11906" w:orient="landscape"/>
          <w:pgMar w:top="2155" w:right="1616" w:bottom="1588" w:left="1616" w:header="851" w:footer="1191" w:gutter="0"/>
          <w:pgNumType w:start="1"/>
          <w:cols w:num="2" w:space="708"/>
          <w:docGrid w:linePitch="360"/>
        </w:sectPr>
      </w:pPr>
      <w:r w:rsidRPr="00A717E9">
        <w:rPr>
          <w:rFonts w:ascii="Arial" w:hAnsi="Arial" w:cs="Arial"/>
        </w:rPr>
        <w:t>Development of the national transmission grid is too slow</w:t>
      </w:r>
      <w:r w:rsidR="00A717E9" w:rsidRPr="00A717E9">
        <w:rPr>
          <w:rFonts w:ascii="Arial" w:hAnsi="Arial" w:cs="Arial"/>
        </w:rPr>
        <w:t>,</w:t>
      </w:r>
      <w:r w:rsidRPr="00A717E9">
        <w:rPr>
          <w:rFonts w:ascii="Arial" w:hAnsi="Arial" w:cs="Arial"/>
        </w:rPr>
        <w:t xml:space="preserve"> and the </w:t>
      </w:r>
      <w:r w:rsidR="00A717E9" w:rsidRPr="00A717E9">
        <w:rPr>
          <w:rFonts w:ascii="Arial" w:hAnsi="Arial" w:cs="Arial"/>
        </w:rPr>
        <w:t>way its costs are allocated to consumers is no longer fit for purpose. Prioritising solution to these problems should largely address concerns about how to ensure new generation is located where it adds most value achieve</w:t>
      </w:r>
      <w:r w:rsidR="00F911C3">
        <w:rPr>
          <w:rFonts w:ascii="Arial" w:hAnsi="Arial" w:cs="Arial"/>
        </w:rPr>
        <w:t>s</w:t>
      </w:r>
      <w:r w:rsidR="00A717E9" w:rsidRPr="00A717E9">
        <w:rPr>
          <w:rFonts w:ascii="Arial" w:hAnsi="Arial" w:cs="Arial"/>
        </w:rPr>
        <w:t xml:space="preserve"> a</w:t>
      </w:r>
      <w:r w:rsidR="00F911C3">
        <w:rPr>
          <w:rFonts w:ascii="Arial" w:hAnsi="Arial" w:cs="Arial"/>
        </w:rPr>
        <w:t>n adequate</w:t>
      </w:r>
      <w:r w:rsidR="00A717E9" w:rsidRPr="00A717E9">
        <w:rPr>
          <w:rFonts w:ascii="Arial" w:hAnsi="Arial" w:cs="Arial"/>
        </w:rPr>
        <w:t xml:space="preserve"> return on investment.</w:t>
      </w:r>
    </w:p>
    <w:p w14:paraId="2FD0D8AC" w14:textId="77777777" w:rsidR="00582D19" w:rsidRDefault="00582D19">
      <w:pPr>
        <w:spacing w:before="0"/>
        <w:ind w:left="0"/>
        <w:rPr>
          <w:b/>
          <w:bCs/>
          <w:color w:val="F3901D"/>
          <w:kern w:val="32"/>
          <w:sz w:val="30"/>
          <w:szCs w:val="30"/>
        </w:rPr>
      </w:pPr>
      <w:r>
        <w:br w:type="page"/>
      </w:r>
    </w:p>
    <w:p w14:paraId="192140E4" w14:textId="3854FF3F" w:rsidR="00394770" w:rsidRDefault="00394770" w:rsidP="001B69F3">
      <w:pPr>
        <w:pStyle w:val="Heading1"/>
      </w:pPr>
      <w:r>
        <w:lastRenderedPageBreak/>
        <w:t>Introduction</w:t>
      </w:r>
    </w:p>
    <w:p w14:paraId="57D0AC80" w14:textId="77777777" w:rsidR="007D388A" w:rsidRDefault="007D388A" w:rsidP="001D78C7">
      <w:pPr>
        <w:ind w:left="0"/>
        <w:rPr>
          <w:sz w:val="22"/>
          <w:szCs w:val="22"/>
        </w:rPr>
        <w:sectPr w:rsidR="007D388A" w:rsidSect="00B8212C">
          <w:endnotePr>
            <w:numFmt w:val="decimal"/>
          </w:endnotePr>
          <w:type w:val="continuous"/>
          <w:pgSz w:w="16838" w:h="11906" w:orient="landscape"/>
          <w:pgMar w:top="2155" w:right="1616" w:bottom="1588" w:left="1616" w:header="851" w:footer="1191" w:gutter="0"/>
          <w:cols w:num="2" w:space="708"/>
          <w:docGrid w:linePitch="360"/>
        </w:sectPr>
      </w:pPr>
    </w:p>
    <w:p w14:paraId="2BC32413" w14:textId="6F53269E" w:rsidR="00394770" w:rsidRPr="00AC5A73" w:rsidRDefault="00394770" w:rsidP="001D78C7">
      <w:pPr>
        <w:ind w:left="0"/>
        <w:rPr>
          <w:sz w:val="22"/>
          <w:szCs w:val="22"/>
        </w:rPr>
      </w:pPr>
      <w:r w:rsidRPr="00AC5A73">
        <w:rPr>
          <w:sz w:val="22"/>
          <w:szCs w:val="22"/>
        </w:rPr>
        <w:t xml:space="preserve">This </w:t>
      </w:r>
      <w:r w:rsidR="001E657B">
        <w:rPr>
          <w:sz w:val="22"/>
          <w:szCs w:val="22"/>
        </w:rPr>
        <w:t xml:space="preserve">submission is made by </w:t>
      </w:r>
      <w:r w:rsidR="00F6324C">
        <w:rPr>
          <w:sz w:val="22"/>
          <w:szCs w:val="22"/>
        </w:rPr>
        <w:t>Tony Wood</w:t>
      </w:r>
      <w:r w:rsidR="00C755C7">
        <w:rPr>
          <w:sz w:val="22"/>
          <w:szCs w:val="22"/>
        </w:rPr>
        <w:t xml:space="preserve"> </w:t>
      </w:r>
      <w:r w:rsidR="002F0FD9">
        <w:rPr>
          <w:sz w:val="22"/>
          <w:szCs w:val="22"/>
        </w:rPr>
        <w:t xml:space="preserve">and Guy Dundas </w:t>
      </w:r>
      <w:r w:rsidR="001E657B">
        <w:rPr>
          <w:sz w:val="22"/>
          <w:szCs w:val="22"/>
        </w:rPr>
        <w:t xml:space="preserve">of </w:t>
      </w:r>
      <w:r w:rsidR="009B2B17">
        <w:rPr>
          <w:sz w:val="22"/>
          <w:szCs w:val="22"/>
        </w:rPr>
        <w:t>the Grattan Institute</w:t>
      </w:r>
      <w:r w:rsidR="001E657B">
        <w:rPr>
          <w:sz w:val="22"/>
          <w:szCs w:val="22"/>
        </w:rPr>
        <w:t>.</w:t>
      </w:r>
      <w:r w:rsidR="009B2B17">
        <w:rPr>
          <w:sz w:val="22"/>
          <w:szCs w:val="22"/>
        </w:rPr>
        <w:t xml:space="preserve"> </w:t>
      </w:r>
      <w:r w:rsidR="001E657B">
        <w:rPr>
          <w:sz w:val="22"/>
          <w:szCs w:val="22"/>
        </w:rPr>
        <w:t xml:space="preserve">It </w:t>
      </w:r>
      <w:r w:rsidR="00A50C55">
        <w:rPr>
          <w:sz w:val="22"/>
          <w:szCs w:val="22"/>
        </w:rPr>
        <w:t xml:space="preserve">responds to the </w:t>
      </w:r>
      <w:r w:rsidR="002F0FD9">
        <w:rPr>
          <w:sz w:val="22"/>
          <w:szCs w:val="22"/>
        </w:rPr>
        <w:t xml:space="preserve">Consultation </w:t>
      </w:r>
      <w:r w:rsidR="0096621D">
        <w:rPr>
          <w:sz w:val="22"/>
          <w:szCs w:val="22"/>
        </w:rPr>
        <w:t xml:space="preserve">Paper </w:t>
      </w:r>
      <w:r w:rsidR="006E2D8A">
        <w:rPr>
          <w:sz w:val="22"/>
          <w:szCs w:val="22"/>
        </w:rPr>
        <w:t xml:space="preserve">released by the </w:t>
      </w:r>
      <w:r w:rsidR="002F0FD9">
        <w:rPr>
          <w:sz w:val="22"/>
          <w:szCs w:val="22"/>
        </w:rPr>
        <w:t>Energy Security Board (ESB) in September</w:t>
      </w:r>
      <w:r w:rsidR="00547B60">
        <w:rPr>
          <w:sz w:val="22"/>
          <w:szCs w:val="22"/>
        </w:rPr>
        <w:t xml:space="preserve"> 20</w:t>
      </w:r>
      <w:r w:rsidR="001E657B">
        <w:rPr>
          <w:sz w:val="22"/>
          <w:szCs w:val="22"/>
        </w:rPr>
        <w:t>20</w:t>
      </w:r>
      <w:r w:rsidR="002F0FD9">
        <w:rPr>
          <w:sz w:val="22"/>
          <w:szCs w:val="22"/>
        </w:rPr>
        <w:t xml:space="preserve">. This paper sets out potential solutions to identified problems and opportunities. </w:t>
      </w:r>
      <w:r w:rsidR="00811212">
        <w:rPr>
          <w:sz w:val="22"/>
          <w:szCs w:val="22"/>
        </w:rPr>
        <w:t xml:space="preserve">The desired outcome is a </w:t>
      </w:r>
      <w:r w:rsidR="002F0FD9">
        <w:rPr>
          <w:sz w:val="22"/>
          <w:szCs w:val="22"/>
        </w:rPr>
        <w:t>N</w:t>
      </w:r>
      <w:r w:rsidR="000E4744">
        <w:rPr>
          <w:sz w:val="22"/>
          <w:szCs w:val="22"/>
        </w:rPr>
        <w:t xml:space="preserve">ational </w:t>
      </w:r>
      <w:r w:rsidR="002F0FD9">
        <w:rPr>
          <w:sz w:val="22"/>
          <w:szCs w:val="22"/>
        </w:rPr>
        <w:t>E</w:t>
      </w:r>
      <w:r w:rsidR="000E4744">
        <w:rPr>
          <w:sz w:val="22"/>
          <w:szCs w:val="22"/>
        </w:rPr>
        <w:t xml:space="preserve">lectricity </w:t>
      </w:r>
      <w:r w:rsidR="002F0FD9">
        <w:rPr>
          <w:sz w:val="22"/>
          <w:szCs w:val="22"/>
        </w:rPr>
        <w:t>M</w:t>
      </w:r>
      <w:r w:rsidR="000E4744">
        <w:rPr>
          <w:sz w:val="22"/>
          <w:szCs w:val="22"/>
        </w:rPr>
        <w:t>arket</w:t>
      </w:r>
      <w:r w:rsidR="002F0FD9">
        <w:rPr>
          <w:sz w:val="22"/>
          <w:szCs w:val="22"/>
        </w:rPr>
        <w:t xml:space="preserve"> that delivers secure and reliable power at least cost to consumers and accommodates the changes underway and expected in the future.</w:t>
      </w:r>
    </w:p>
    <w:p w14:paraId="784BBE0C" w14:textId="74F3EC22" w:rsidR="00394770" w:rsidRDefault="00394770" w:rsidP="001D78C7">
      <w:pPr>
        <w:ind w:left="0"/>
        <w:rPr>
          <w:sz w:val="22"/>
          <w:szCs w:val="22"/>
        </w:rPr>
      </w:pPr>
      <w:r w:rsidRPr="00AC5A73">
        <w:rPr>
          <w:sz w:val="22"/>
          <w:szCs w:val="22"/>
        </w:rPr>
        <w:t xml:space="preserve">Grattan </w:t>
      </w:r>
      <w:r w:rsidR="00FF4CC6">
        <w:rPr>
          <w:sz w:val="22"/>
          <w:szCs w:val="22"/>
        </w:rPr>
        <w:t>Institute is an independent thin</w:t>
      </w:r>
      <w:r w:rsidRPr="00AC5A73">
        <w:rPr>
          <w:sz w:val="22"/>
          <w:szCs w:val="22"/>
        </w:rPr>
        <w:t xml:space="preserve">k-tank focused on Australian domestic public policy. </w:t>
      </w:r>
      <w:r w:rsidR="00F6324C">
        <w:rPr>
          <w:sz w:val="22"/>
          <w:szCs w:val="22"/>
        </w:rPr>
        <w:t>It</w:t>
      </w:r>
      <w:r w:rsidRPr="00AC5A73">
        <w:rPr>
          <w:sz w:val="22"/>
          <w:szCs w:val="22"/>
        </w:rPr>
        <w:t xml:space="preserve"> aim</w:t>
      </w:r>
      <w:r w:rsidR="00F6324C">
        <w:rPr>
          <w:sz w:val="22"/>
          <w:szCs w:val="22"/>
        </w:rPr>
        <w:t>s</w:t>
      </w:r>
      <w:r w:rsidRPr="00AC5A73">
        <w:rPr>
          <w:sz w:val="22"/>
          <w:szCs w:val="22"/>
        </w:rPr>
        <w:t xml:space="preserve"> to improve policy outcomes by engaging with both decision-makers and the community. </w:t>
      </w:r>
    </w:p>
    <w:p w14:paraId="2ACF9930" w14:textId="0671A29B" w:rsidR="00811212" w:rsidRDefault="00811212" w:rsidP="00811212">
      <w:pPr>
        <w:ind w:left="0"/>
        <w:rPr>
          <w:sz w:val="22"/>
          <w:szCs w:val="22"/>
        </w:rPr>
      </w:pPr>
      <w:r>
        <w:rPr>
          <w:sz w:val="22"/>
          <w:szCs w:val="22"/>
        </w:rPr>
        <w:t xml:space="preserve">The Consultation Paper outlines and seeks submissions on seven </w:t>
      </w:r>
      <w:r w:rsidR="009C3818">
        <w:rPr>
          <w:sz w:val="22"/>
          <w:szCs w:val="22"/>
        </w:rPr>
        <w:t>M</w:t>
      </w:r>
      <w:r>
        <w:rPr>
          <w:sz w:val="22"/>
          <w:szCs w:val="22"/>
        </w:rPr>
        <w:t xml:space="preserve">arket </w:t>
      </w:r>
      <w:r w:rsidR="009C3818">
        <w:rPr>
          <w:sz w:val="22"/>
          <w:szCs w:val="22"/>
        </w:rPr>
        <w:t>D</w:t>
      </w:r>
      <w:r>
        <w:rPr>
          <w:sz w:val="22"/>
          <w:szCs w:val="22"/>
        </w:rPr>
        <w:t xml:space="preserve">esign </w:t>
      </w:r>
      <w:r w:rsidR="009C3818">
        <w:rPr>
          <w:sz w:val="22"/>
          <w:szCs w:val="22"/>
        </w:rPr>
        <w:t>I</w:t>
      </w:r>
      <w:r>
        <w:rPr>
          <w:sz w:val="22"/>
          <w:szCs w:val="22"/>
        </w:rPr>
        <w:t>nitiatives</w:t>
      </w:r>
      <w:r w:rsidR="009C3818">
        <w:rPr>
          <w:sz w:val="22"/>
          <w:szCs w:val="22"/>
        </w:rPr>
        <w:t xml:space="preserve"> (MDIs)</w:t>
      </w:r>
      <w:r>
        <w:rPr>
          <w:sz w:val="22"/>
          <w:szCs w:val="22"/>
        </w:rPr>
        <w:t xml:space="preserve">. In our view these are not of equal importance or urgency and are not all interconnected. </w:t>
      </w:r>
      <w:r w:rsidR="009C3818">
        <w:rPr>
          <w:sz w:val="22"/>
          <w:szCs w:val="22"/>
        </w:rPr>
        <w:t xml:space="preserve">Work in the right direction has already commenced on several of them, while major doubts exist on others. </w:t>
      </w:r>
      <w:r>
        <w:rPr>
          <w:sz w:val="22"/>
          <w:szCs w:val="22"/>
        </w:rPr>
        <w:t>This submission reflects these differences and our own level of knowledge</w:t>
      </w:r>
      <w:r w:rsidR="009C3818">
        <w:rPr>
          <w:sz w:val="22"/>
          <w:szCs w:val="22"/>
        </w:rPr>
        <w:t xml:space="preserve"> across the MDIs</w:t>
      </w:r>
      <w:r>
        <w:rPr>
          <w:sz w:val="22"/>
          <w:szCs w:val="22"/>
        </w:rPr>
        <w:t>.</w:t>
      </w:r>
    </w:p>
    <w:p w14:paraId="40595AF2" w14:textId="3AC17C11" w:rsidR="001B69F3" w:rsidRDefault="009C3818" w:rsidP="000D1797">
      <w:pPr>
        <w:ind w:left="0"/>
        <w:rPr>
          <w:sz w:val="22"/>
          <w:szCs w:val="22"/>
        </w:rPr>
        <w:sectPr w:rsidR="001B69F3" w:rsidSect="001B69F3">
          <w:endnotePr>
            <w:numFmt w:val="decimal"/>
          </w:endnotePr>
          <w:type w:val="continuous"/>
          <w:pgSz w:w="16838" w:h="11906" w:orient="landscape"/>
          <w:pgMar w:top="2155" w:right="1616" w:bottom="1588" w:left="1616" w:header="851" w:footer="1191" w:gutter="0"/>
          <w:pgNumType w:start="1"/>
          <w:cols w:num="2" w:space="708"/>
          <w:docGrid w:linePitch="360"/>
        </w:sectPr>
      </w:pPr>
      <w:r>
        <w:rPr>
          <w:sz w:val="22"/>
          <w:szCs w:val="22"/>
        </w:rPr>
        <w:t>The energy sector is a complex and changing area of government policy. A valuable aspect of t</w:t>
      </w:r>
      <w:r w:rsidR="00811212">
        <w:rPr>
          <w:sz w:val="22"/>
          <w:szCs w:val="22"/>
        </w:rPr>
        <w:t xml:space="preserve">he recent work of the ESB and its working groups has been to understand and respond to this environment. In providing advice to the National Cabinet Energy Reform Committee, the ESB’s recommendations should </w:t>
      </w:r>
      <w:r>
        <w:rPr>
          <w:sz w:val="22"/>
          <w:szCs w:val="22"/>
        </w:rPr>
        <w:t>include a clear agenda for implementation.</w:t>
      </w:r>
      <w:r w:rsidR="00811212">
        <w:rPr>
          <w:sz w:val="22"/>
          <w:szCs w:val="22"/>
        </w:rPr>
        <w:t xml:space="preserve"> </w:t>
      </w:r>
    </w:p>
    <w:p w14:paraId="7C6C4FCC" w14:textId="5FA10C15" w:rsidR="000D1797" w:rsidRDefault="000D1797" w:rsidP="000D1797">
      <w:pPr>
        <w:ind w:left="0"/>
        <w:rPr>
          <w:sz w:val="22"/>
          <w:szCs w:val="22"/>
        </w:rPr>
      </w:pPr>
    </w:p>
    <w:p w14:paraId="72C8E04A" w14:textId="77777777" w:rsidR="00B344F1" w:rsidRDefault="00B344F1" w:rsidP="00D244DB">
      <w:pPr>
        <w:pStyle w:val="Heading1"/>
        <w:sectPr w:rsidR="00B344F1" w:rsidSect="00020080">
          <w:endnotePr>
            <w:numFmt w:val="decimal"/>
          </w:endnotePr>
          <w:type w:val="continuous"/>
          <w:pgSz w:w="16838" w:h="11906" w:orient="landscape"/>
          <w:pgMar w:top="2155" w:right="1616" w:bottom="1588" w:left="1616" w:header="851" w:footer="1191" w:gutter="0"/>
          <w:pgNumType w:start="1"/>
          <w:cols w:space="708"/>
          <w:docGrid w:linePitch="360"/>
        </w:sectPr>
      </w:pPr>
    </w:p>
    <w:p w14:paraId="6666E8AF" w14:textId="77777777" w:rsidR="002E41EF" w:rsidRDefault="002E41EF">
      <w:pPr>
        <w:spacing w:before="0"/>
        <w:ind w:left="0"/>
        <w:rPr>
          <w:b/>
          <w:bCs/>
          <w:color w:val="F3901D"/>
          <w:kern w:val="32"/>
          <w:sz w:val="30"/>
          <w:szCs w:val="30"/>
        </w:rPr>
      </w:pPr>
      <w:r>
        <w:br w:type="page"/>
      </w:r>
    </w:p>
    <w:p w14:paraId="45420E7E" w14:textId="01BDB8CB" w:rsidR="000D1797" w:rsidRDefault="00F950E7" w:rsidP="00D244DB">
      <w:pPr>
        <w:pStyle w:val="Heading1"/>
      </w:pPr>
      <w:r>
        <w:lastRenderedPageBreak/>
        <w:t>Issues arising from the Consultation Paper</w:t>
      </w:r>
    </w:p>
    <w:p w14:paraId="56C7A775" w14:textId="7A8D32B8" w:rsidR="00F950E7" w:rsidRPr="00F950E7" w:rsidRDefault="00F950E7" w:rsidP="00F950E7">
      <w:pPr>
        <w:pStyle w:val="BodyText"/>
      </w:pPr>
      <w:r>
        <w:t xml:space="preserve">The paper seeks responses to solutions covering seven </w:t>
      </w:r>
      <w:r w:rsidR="00811212">
        <w:t>MDIs</w:t>
      </w:r>
      <w:r>
        <w:t>.</w:t>
      </w:r>
    </w:p>
    <w:p w14:paraId="3EE5236A" w14:textId="7C07C307" w:rsidR="00CE0CDE" w:rsidRDefault="002118DD" w:rsidP="00D244DB">
      <w:pPr>
        <w:pStyle w:val="Heading2"/>
      </w:pPr>
      <w:r>
        <w:t>Resource adequacy mechanism</w:t>
      </w:r>
    </w:p>
    <w:p w14:paraId="3276CC10" w14:textId="610EC35A" w:rsidR="000E4744" w:rsidRDefault="002E41EF" w:rsidP="002E41EF">
      <w:pPr>
        <w:pStyle w:val="Default"/>
        <w:rPr>
          <w:rFonts w:ascii="Arial" w:hAnsi="Arial" w:cs="Arial"/>
          <w:sz w:val="22"/>
          <w:szCs w:val="22"/>
        </w:rPr>
      </w:pPr>
      <w:r w:rsidRPr="002E41EF">
        <w:rPr>
          <w:rFonts w:ascii="Arial" w:hAnsi="Arial" w:cs="Arial"/>
          <w:sz w:val="22"/>
          <w:szCs w:val="22"/>
        </w:rPr>
        <w:t>Existing resource adequacy mechanisms are theoretica</w:t>
      </w:r>
      <w:r w:rsidR="00CB729B">
        <w:rPr>
          <w:rFonts w:ascii="Arial" w:hAnsi="Arial" w:cs="Arial"/>
          <w:sz w:val="22"/>
          <w:szCs w:val="22"/>
        </w:rPr>
        <w:t>l</w:t>
      </w:r>
      <w:r w:rsidRPr="002E41EF">
        <w:rPr>
          <w:rFonts w:ascii="Arial" w:hAnsi="Arial" w:cs="Arial"/>
          <w:sz w:val="22"/>
          <w:szCs w:val="22"/>
        </w:rPr>
        <w:t>l</w:t>
      </w:r>
      <w:r w:rsidR="00CB729B">
        <w:rPr>
          <w:rFonts w:ascii="Arial" w:hAnsi="Arial" w:cs="Arial"/>
          <w:sz w:val="22"/>
          <w:szCs w:val="22"/>
        </w:rPr>
        <w:t>y</w:t>
      </w:r>
      <w:r w:rsidRPr="002E41EF">
        <w:rPr>
          <w:rFonts w:ascii="Arial" w:hAnsi="Arial" w:cs="Arial"/>
          <w:sz w:val="22"/>
          <w:szCs w:val="22"/>
        </w:rPr>
        <w:t xml:space="preserve"> enough to drive investment in the quantity and mix of resources required through the transition</w:t>
      </w:r>
      <w:r>
        <w:rPr>
          <w:rFonts w:ascii="Arial" w:hAnsi="Arial" w:cs="Arial"/>
          <w:sz w:val="22"/>
          <w:szCs w:val="22"/>
        </w:rPr>
        <w:t>.</w:t>
      </w:r>
      <w:r w:rsidR="000E4744">
        <w:rPr>
          <w:rFonts w:ascii="Arial" w:hAnsi="Arial" w:cs="Arial"/>
          <w:sz w:val="22"/>
          <w:szCs w:val="22"/>
        </w:rPr>
        <w:t xml:space="preserve"> </w:t>
      </w:r>
    </w:p>
    <w:p w14:paraId="1146AAB5" w14:textId="5F0FA590" w:rsidR="000E4744" w:rsidRDefault="000E4744" w:rsidP="002E41EF">
      <w:pPr>
        <w:pStyle w:val="Default"/>
        <w:rPr>
          <w:rFonts w:ascii="Arial" w:hAnsi="Arial" w:cs="Arial"/>
          <w:sz w:val="22"/>
          <w:szCs w:val="22"/>
        </w:rPr>
      </w:pPr>
    </w:p>
    <w:p w14:paraId="2B9055AA" w14:textId="2A12E491" w:rsidR="0069409E" w:rsidRDefault="0069409E" w:rsidP="002E41EF">
      <w:pPr>
        <w:pStyle w:val="Default"/>
        <w:rPr>
          <w:rFonts w:ascii="Arial" w:hAnsi="Arial" w:cs="Arial"/>
          <w:sz w:val="22"/>
          <w:szCs w:val="22"/>
        </w:rPr>
      </w:pPr>
      <w:r>
        <w:rPr>
          <w:rFonts w:ascii="Arial" w:hAnsi="Arial" w:cs="Arial"/>
          <w:sz w:val="22"/>
          <w:szCs w:val="22"/>
        </w:rPr>
        <w:t xml:space="preserve">In our 2018 </w:t>
      </w:r>
      <w:r w:rsidR="00D73297">
        <w:rPr>
          <w:rFonts w:ascii="Arial" w:hAnsi="Arial" w:cs="Arial"/>
          <w:sz w:val="22"/>
          <w:szCs w:val="22"/>
        </w:rPr>
        <w:t>working paper</w:t>
      </w:r>
      <w:r>
        <w:rPr>
          <w:rFonts w:ascii="Arial" w:hAnsi="Arial" w:cs="Arial"/>
          <w:sz w:val="22"/>
          <w:szCs w:val="22"/>
        </w:rPr>
        <w:t xml:space="preserve">, </w:t>
      </w:r>
      <w:r w:rsidRPr="0069409E">
        <w:rPr>
          <w:rFonts w:ascii="Arial" w:hAnsi="Arial" w:cs="Arial"/>
          <w:i/>
          <w:iCs/>
          <w:sz w:val="22"/>
          <w:szCs w:val="22"/>
        </w:rPr>
        <w:t>Designing a more reliable electricity market</w:t>
      </w:r>
      <w:r>
        <w:rPr>
          <w:rFonts w:ascii="Arial" w:hAnsi="Arial" w:cs="Arial"/>
          <w:sz w:val="22"/>
          <w:szCs w:val="22"/>
        </w:rPr>
        <w:t>, we observed recognised that</w:t>
      </w:r>
      <w:r>
        <w:rPr>
          <w:rStyle w:val="FootnoteReference"/>
          <w:rFonts w:ascii="Arial" w:hAnsi="Arial"/>
          <w:sz w:val="22"/>
          <w:szCs w:val="22"/>
        </w:rPr>
        <w:footnoteReference w:id="1"/>
      </w:r>
      <w:r>
        <w:rPr>
          <w:rFonts w:ascii="Arial" w:hAnsi="Arial" w:cs="Arial"/>
          <w:sz w:val="22"/>
          <w:szCs w:val="22"/>
        </w:rPr>
        <w:t xml:space="preserve"> </w:t>
      </w:r>
      <w:r w:rsidR="000E4744" w:rsidRPr="000E4744">
        <w:rPr>
          <w:rFonts w:ascii="Arial" w:hAnsi="Arial" w:cs="Arial"/>
          <w:sz w:val="22"/>
          <w:szCs w:val="22"/>
        </w:rPr>
        <w:t xml:space="preserve">The need for a reliability mechanism arises from concern that scarcity pricing in an energy-only market may not deliver adequate investment to meet future demand. </w:t>
      </w:r>
    </w:p>
    <w:p w14:paraId="471C29F7" w14:textId="6074B0C2" w:rsidR="00253F1A" w:rsidRDefault="00253F1A" w:rsidP="002E41EF">
      <w:pPr>
        <w:pStyle w:val="Default"/>
        <w:rPr>
          <w:rFonts w:ascii="Arial" w:hAnsi="Arial" w:cs="Arial"/>
          <w:sz w:val="22"/>
          <w:szCs w:val="22"/>
        </w:rPr>
      </w:pPr>
    </w:p>
    <w:p w14:paraId="77ADF749" w14:textId="611E784D" w:rsidR="00253F1A" w:rsidRDefault="00C97FA5" w:rsidP="002E41EF">
      <w:pPr>
        <w:pStyle w:val="Default"/>
        <w:rPr>
          <w:rFonts w:ascii="Arial" w:hAnsi="Arial" w:cs="Arial"/>
          <w:sz w:val="22"/>
          <w:szCs w:val="22"/>
        </w:rPr>
      </w:pPr>
      <w:r>
        <w:rPr>
          <w:rFonts w:ascii="Arial" w:hAnsi="Arial" w:cs="Arial"/>
          <w:sz w:val="22"/>
          <w:szCs w:val="22"/>
        </w:rPr>
        <w:t>But we have also</w:t>
      </w:r>
      <w:r w:rsidR="00253F1A">
        <w:rPr>
          <w:rFonts w:ascii="Arial" w:hAnsi="Arial" w:cs="Arial"/>
          <w:sz w:val="22"/>
          <w:szCs w:val="22"/>
        </w:rPr>
        <w:t xml:space="preserve"> noted that reliability concerns have be</w:t>
      </w:r>
      <w:r>
        <w:rPr>
          <w:rFonts w:ascii="Arial" w:hAnsi="Arial" w:cs="Arial"/>
          <w:sz w:val="22"/>
          <w:szCs w:val="22"/>
        </w:rPr>
        <w:t>en politicised, and therefore overstated.</w:t>
      </w:r>
      <w:r>
        <w:rPr>
          <w:rStyle w:val="FootnoteReference"/>
          <w:rFonts w:ascii="Arial" w:hAnsi="Arial"/>
          <w:sz w:val="22"/>
          <w:szCs w:val="22"/>
        </w:rPr>
        <w:footnoteReference w:id="2"/>
      </w:r>
      <w:r>
        <w:rPr>
          <w:rFonts w:ascii="Arial" w:hAnsi="Arial" w:cs="Arial"/>
          <w:sz w:val="22"/>
          <w:szCs w:val="22"/>
        </w:rPr>
        <w:t xml:space="preserve"> And that p</w:t>
      </w:r>
      <w:r w:rsidR="00253F1A" w:rsidRPr="00921CA6">
        <w:rPr>
          <w:rFonts w:ascii="Arial" w:hAnsi="Arial" w:cs="Arial"/>
          <w:sz w:val="22"/>
          <w:szCs w:val="22"/>
        </w:rPr>
        <w:t>olicy uncertainty and government interventions</w:t>
      </w:r>
      <w:r>
        <w:rPr>
          <w:rFonts w:ascii="Arial" w:hAnsi="Arial" w:cs="Arial"/>
          <w:sz w:val="22"/>
          <w:szCs w:val="22"/>
        </w:rPr>
        <w:t>, not market design,</w:t>
      </w:r>
      <w:r w:rsidR="00253F1A" w:rsidRPr="00921CA6">
        <w:rPr>
          <w:rFonts w:ascii="Arial" w:hAnsi="Arial" w:cs="Arial"/>
          <w:sz w:val="22"/>
          <w:szCs w:val="22"/>
        </w:rPr>
        <w:t xml:space="preserve"> are the greatest risk to efficient investment and achieving the desired objective of the NEM</w:t>
      </w:r>
      <w:r>
        <w:rPr>
          <w:rFonts w:ascii="Arial" w:hAnsi="Arial" w:cs="Arial"/>
          <w:sz w:val="22"/>
          <w:szCs w:val="22"/>
        </w:rPr>
        <w:t>, including reliability.</w:t>
      </w:r>
      <w:r>
        <w:rPr>
          <w:rStyle w:val="FootnoteReference"/>
          <w:rFonts w:ascii="Arial" w:hAnsi="Arial"/>
          <w:sz w:val="22"/>
          <w:szCs w:val="22"/>
        </w:rPr>
        <w:footnoteReference w:id="3"/>
      </w:r>
      <w:r>
        <w:rPr>
          <w:rFonts w:ascii="Arial" w:hAnsi="Arial" w:cs="Arial"/>
          <w:sz w:val="22"/>
          <w:szCs w:val="22"/>
        </w:rPr>
        <w:t xml:space="preserve"> </w:t>
      </w:r>
    </w:p>
    <w:p w14:paraId="526AD1CF" w14:textId="77777777" w:rsidR="0069409E" w:rsidRDefault="0069409E" w:rsidP="002E41EF">
      <w:pPr>
        <w:pStyle w:val="Default"/>
        <w:rPr>
          <w:rFonts w:ascii="Arial" w:hAnsi="Arial" w:cs="Arial"/>
          <w:sz w:val="22"/>
          <w:szCs w:val="22"/>
        </w:rPr>
      </w:pPr>
    </w:p>
    <w:p w14:paraId="764F6DE9" w14:textId="39B93EFF" w:rsidR="000E4744" w:rsidRPr="000E4744" w:rsidRDefault="00C97FA5" w:rsidP="002E41EF">
      <w:pPr>
        <w:pStyle w:val="Default"/>
        <w:rPr>
          <w:rFonts w:ascii="Arial" w:hAnsi="Arial" w:cs="Arial"/>
          <w:sz w:val="22"/>
          <w:szCs w:val="22"/>
        </w:rPr>
      </w:pPr>
      <w:r>
        <w:rPr>
          <w:rFonts w:ascii="Arial" w:hAnsi="Arial" w:cs="Arial"/>
          <w:sz w:val="22"/>
          <w:szCs w:val="22"/>
        </w:rPr>
        <w:t>In this context, it is not clear that a new and distinct</w:t>
      </w:r>
      <w:r w:rsidR="000E4744" w:rsidRPr="000E4744">
        <w:rPr>
          <w:rFonts w:ascii="Arial" w:hAnsi="Arial" w:cs="Arial"/>
          <w:sz w:val="22"/>
          <w:szCs w:val="22"/>
        </w:rPr>
        <w:t xml:space="preserve"> reliability mechanism</w:t>
      </w:r>
      <w:r>
        <w:rPr>
          <w:rFonts w:ascii="Arial" w:hAnsi="Arial" w:cs="Arial"/>
          <w:sz w:val="22"/>
          <w:szCs w:val="22"/>
        </w:rPr>
        <w:t xml:space="preserve"> is required</w:t>
      </w:r>
      <w:r w:rsidR="000E4744" w:rsidRPr="000E4744">
        <w:rPr>
          <w:rFonts w:ascii="Arial" w:hAnsi="Arial" w:cs="Arial"/>
          <w:sz w:val="22"/>
          <w:szCs w:val="22"/>
        </w:rPr>
        <w:t>.</w:t>
      </w:r>
      <w:r>
        <w:rPr>
          <w:rFonts w:ascii="Arial" w:hAnsi="Arial" w:cs="Arial"/>
          <w:sz w:val="22"/>
          <w:szCs w:val="22"/>
        </w:rPr>
        <w:t xml:space="preserve"> And such a mechanism </w:t>
      </w:r>
      <w:r w:rsidRPr="000E4744">
        <w:rPr>
          <w:rFonts w:ascii="Arial" w:hAnsi="Arial" w:cs="Arial"/>
          <w:sz w:val="22"/>
          <w:szCs w:val="22"/>
        </w:rPr>
        <w:t xml:space="preserve">would not replace the need to deliver </w:t>
      </w:r>
      <w:r>
        <w:rPr>
          <w:rFonts w:ascii="Arial" w:hAnsi="Arial" w:cs="Arial"/>
          <w:sz w:val="22"/>
          <w:szCs w:val="22"/>
        </w:rPr>
        <w:t xml:space="preserve">essential system services (discussed in Section 3.3), which cause far more power outages than problems with resource adequacy. </w:t>
      </w:r>
      <w:r>
        <w:rPr>
          <w:rFonts w:ascii="Arial" w:hAnsi="Arial" w:cs="Arial"/>
          <w:sz w:val="22"/>
          <w:szCs w:val="22"/>
        </w:rPr>
        <w:t xml:space="preserve">Our view is that any such mechanism </w:t>
      </w:r>
      <w:r>
        <w:rPr>
          <w:rFonts w:ascii="Arial" w:hAnsi="Arial" w:cs="Arial"/>
          <w:sz w:val="22"/>
          <w:szCs w:val="22"/>
        </w:rPr>
        <w:t xml:space="preserve">should be as ‘light-touch’ as possible, and we commend the ESB for ruling out the relatively heavy-handed approach of a centralised capacity market, like that in the UK. </w:t>
      </w:r>
    </w:p>
    <w:p w14:paraId="3A424EF9" w14:textId="77777777" w:rsidR="000E4744" w:rsidRPr="000E4744" w:rsidRDefault="000E4744" w:rsidP="002E41EF">
      <w:pPr>
        <w:pStyle w:val="Default"/>
        <w:rPr>
          <w:rFonts w:ascii="Arial" w:hAnsi="Arial" w:cs="Arial"/>
          <w:sz w:val="22"/>
          <w:szCs w:val="22"/>
        </w:rPr>
      </w:pPr>
    </w:p>
    <w:p w14:paraId="37729FF6" w14:textId="0B3239FA" w:rsidR="0069409E" w:rsidRDefault="0069409E" w:rsidP="002E41EF">
      <w:pPr>
        <w:pStyle w:val="Default"/>
        <w:rPr>
          <w:rFonts w:ascii="Arial" w:hAnsi="Arial" w:cs="Arial"/>
          <w:sz w:val="22"/>
          <w:szCs w:val="22"/>
        </w:rPr>
      </w:pPr>
      <w:r>
        <w:rPr>
          <w:rFonts w:ascii="Arial" w:hAnsi="Arial" w:cs="Arial"/>
          <w:sz w:val="22"/>
          <w:szCs w:val="22"/>
        </w:rPr>
        <w:t xml:space="preserve">The Retailer Reliability Obligation </w:t>
      </w:r>
      <w:r w:rsidR="009C0515">
        <w:rPr>
          <w:rFonts w:ascii="Arial" w:hAnsi="Arial" w:cs="Arial"/>
          <w:sz w:val="22"/>
          <w:szCs w:val="22"/>
        </w:rPr>
        <w:t xml:space="preserve">(RRO) </w:t>
      </w:r>
      <w:r>
        <w:rPr>
          <w:rFonts w:ascii="Arial" w:hAnsi="Arial" w:cs="Arial"/>
          <w:sz w:val="22"/>
          <w:szCs w:val="22"/>
        </w:rPr>
        <w:t xml:space="preserve">was designed to address </w:t>
      </w:r>
      <w:r w:rsidR="00C97FA5">
        <w:rPr>
          <w:rFonts w:ascii="Arial" w:hAnsi="Arial" w:cs="Arial"/>
          <w:sz w:val="22"/>
          <w:szCs w:val="22"/>
        </w:rPr>
        <w:t>concerns about resource adequacy</w:t>
      </w:r>
      <w:r>
        <w:rPr>
          <w:rFonts w:ascii="Arial" w:hAnsi="Arial" w:cs="Arial"/>
          <w:sz w:val="22"/>
          <w:szCs w:val="22"/>
        </w:rPr>
        <w:t>. It has yet to be triggered</w:t>
      </w:r>
      <w:r w:rsidR="009C0515">
        <w:rPr>
          <w:rFonts w:ascii="Arial" w:hAnsi="Arial" w:cs="Arial"/>
          <w:sz w:val="22"/>
          <w:szCs w:val="22"/>
        </w:rPr>
        <w:t xml:space="preserve"> and d</w:t>
      </w:r>
      <w:r>
        <w:rPr>
          <w:rFonts w:ascii="Arial" w:hAnsi="Arial" w:cs="Arial"/>
          <w:sz w:val="22"/>
          <w:szCs w:val="22"/>
        </w:rPr>
        <w:t xml:space="preserve">oubts </w:t>
      </w:r>
      <w:r w:rsidR="009C0515">
        <w:rPr>
          <w:rFonts w:ascii="Arial" w:hAnsi="Arial" w:cs="Arial"/>
          <w:sz w:val="22"/>
          <w:szCs w:val="22"/>
        </w:rPr>
        <w:t xml:space="preserve">exist </w:t>
      </w:r>
      <w:r>
        <w:rPr>
          <w:rFonts w:ascii="Arial" w:hAnsi="Arial" w:cs="Arial"/>
          <w:sz w:val="22"/>
          <w:szCs w:val="22"/>
        </w:rPr>
        <w:t>as to whether it will be an effective solution</w:t>
      </w:r>
      <w:r w:rsidR="009C0515">
        <w:rPr>
          <w:rFonts w:ascii="Arial" w:hAnsi="Arial" w:cs="Arial"/>
          <w:sz w:val="22"/>
          <w:szCs w:val="22"/>
        </w:rPr>
        <w:t xml:space="preserve">. </w:t>
      </w:r>
      <w:r w:rsidR="00C97FA5">
        <w:rPr>
          <w:rFonts w:ascii="Arial" w:hAnsi="Arial" w:cs="Arial"/>
          <w:sz w:val="22"/>
          <w:szCs w:val="22"/>
        </w:rPr>
        <w:t>Given that t</w:t>
      </w:r>
      <w:r w:rsidR="009C0515">
        <w:rPr>
          <w:rFonts w:ascii="Arial" w:hAnsi="Arial" w:cs="Arial"/>
          <w:sz w:val="22"/>
          <w:szCs w:val="22"/>
        </w:rPr>
        <w:t>he ESB has</w:t>
      </w:r>
      <w:r w:rsidR="00C97FA5">
        <w:rPr>
          <w:rFonts w:ascii="Arial" w:hAnsi="Arial" w:cs="Arial"/>
          <w:sz w:val="22"/>
          <w:szCs w:val="22"/>
        </w:rPr>
        <w:t xml:space="preserve"> ruled out</w:t>
      </w:r>
      <w:r w:rsidR="009C0515">
        <w:rPr>
          <w:rFonts w:ascii="Arial" w:hAnsi="Arial" w:cs="Arial"/>
          <w:sz w:val="22"/>
          <w:szCs w:val="22"/>
        </w:rPr>
        <w:t xml:space="preserve"> a centralised capacity auction, </w:t>
      </w:r>
      <w:r w:rsidR="00C97FA5">
        <w:rPr>
          <w:rFonts w:ascii="Arial" w:hAnsi="Arial" w:cs="Arial"/>
          <w:sz w:val="22"/>
          <w:szCs w:val="22"/>
        </w:rPr>
        <w:t>t</w:t>
      </w:r>
      <w:r w:rsidR="009C0515">
        <w:rPr>
          <w:rFonts w:ascii="Arial" w:hAnsi="Arial" w:cs="Arial"/>
          <w:sz w:val="22"/>
          <w:szCs w:val="22"/>
        </w:rPr>
        <w:t>he key choice in the Consultation Paper is between an enhanced RRO and a</w:t>
      </w:r>
      <w:r>
        <w:rPr>
          <w:rFonts w:ascii="Arial" w:hAnsi="Arial" w:cs="Arial"/>
          <w:sz w:val="22"/>
          <w:szCs w:val="22"/>
        </w:rPr>
        <w:t xml:space="preserve"> more decentralised capacity mechanism or market</w:t>
      </w:r>
      <w:r w:rsidR="009C0515">
        <w:rPr>
          <w:rFonts w:ascii="Arial" w:hAnsi="Arial" w:cs="Arial"/>
          <w:sz w:val="22"/>
          <w:szCs w:val="22"/>
        </w:rPr>
        <w:t xml:space="preserve">. In our view, this positioning </w:t>
      </w:r>
      <w:r w:rsidR="00F42B04">
        <w:rPr>
          <w:rFonts w:ascii="Arial" w:hAnsi="Arial" w:cs="Arial"/>
          <w:sz w:val="22"/>
          <w:szCs w:val="22"/>
        </w:rPr>
        <w:t>does not capture the full range of policy options available</w:t>
      </w:r>
      <w:r w:rsidR="009C0515">
        <w:rPr>
          <w:rFonts w:ascii="Arial" w:hAnsi="Arial" w:cs="Arial"/>
          <w:sz w:val="22"/>
          <w:szCs w:val="22"/>
        </w:rPr>
        <w:t>.</w:t>
      </w:r>
    </w:p>
    <w:p w14:paraId="77F7EA65" w14:textId="4B75C26F" w:rsidR="00CC28BE" w:rsidRPr="00CC28BE" w:rsidRDefault="00CC28BE" w:rsidP="00CC28BE">
      <w:pPr>
        <w:ind w:left="0"/>
        <w:rPr>
          <w:sz w:val="22"/>
          <w:szCs w:val="22"/>
        </w:rPr>
      </w:pPr>
      <w:r w:rsidRPr="00CC28BE">
        <w:rPr>
          <w:sz w:val="22"/>
          <w:szCs w:val="22"/>
        </w:rPr>
        <w:t xml:space="preserve">The </w:t>
      </w:r>
      <w:r w:rsidR="009C0515">
        <w:rPr>
          <w:sz w:val="22"/>
          <w:szCs w:val="22"/>
        </w:rPr>
        <w:t>C</w:t>
      </w:r>
      <w:r w:rsidRPr="00CC28BE">
        <w:rPr>
          <w:sz w:val="22"/>
          <w:szCs w:val="22"/>
        </w:rPr>
        <w:t xml:space="preserve">onsultation </w:t>
      </w:r>
      <w:r w:rsidR="009C0515">
        <w:rPr>
          <w:sz w:val="22"/>
          <w:szCs w:val="22"/>
        </w:rPr>
        <w:t>P</w:t>
      </w:r>
      <w:r w:rsidRPr="00CC28BE">
        <w:rPr>
          <w:sz w:val="22"/>
          <w:szCs w:val="22"/>
        </w:rPr>
        <w:t>aper, and future ESB discussions, would benefit by distinguishing between quite distinct policies that are currently grouped under the umbrella term ‘decentralised capacity market’.</w:t>
      </w:r>
    </w:p>
    <w:p w14:paraId="7CE80E7D" w14:textId="77777777" w:rsidR="00CC28BE" w:rsidRPr="00CC28BE" w:rsidRDefault="00CC28BE" w:rsidP="00CC28BE">
      <w:pPr>
        <w:ind w:left="0"/>
        <w:rPr>
          <w:sz w:val="22"/>
          <w:szCs w:val="22"/>
        </w:rPr>
      </w:pPr>
      <w:r w:rsidRPr="00CC28BE">
        <w:rPr>
          <w:sz w:val="22"/>
          <w:szCs w:val="22"/>
        </w:rPr>
        <w:t xml:space="preserve">The consultation paper (second table on p.41) says that such a mechanism may have the obligation “administratively determined or based on market forces”. </w:t>
      </w:r>
    </w:p>
    <w:p w14:paraId="6D80BD87" w14:textId="5ECDA9D9" w:rsidR="00CC28BE" w:rsidRPr="00CC28BE" w:rsidRDefault="00CC28BE" w:rsidP="00CC28BE">
      <w:pPr>
        <w:ind w:left="0"/>
        <w:rPr>
          <w:sz w:val="22"/>
          <w:szCs w:val="22"/>
        </w:rPr>
      </w:pPr>
      <w:r w:rsidRPr="00CC28BE">
        <w:rPr>
          <w:sz w:val="22"/>
          <w:szCs w:val="22"/>
        </w:rPr>
        <w:t xml:space="preserve">In our view, those two approaches are quite different, and grouping them makes it harder for the review to elicit views on the pros and cons of each. Many aspects of policy design are quite different depending on how the reliability outcome is determined. </w:t>
      </w:r>
    </w:p>
    <w:p w14:paraId="69EDF0D3" w14:textId="20E6DDF3" w:rsidR="00971598" w:rsidRDefault="00CC28BE" w:rsidP="00921CA6">
      <w:pPr>
        <w:ind w:left="0"/>
        <w:rPr>
          <w:sz w:val="22"/>
          <w:szCs w:val="22"/>
        </w:rPr>
      </w:pPr>
      <w:r w:rsidRPr="00CC28BE">
        <w:rPr>
          <w:sz w:val="22"/>
          <w:szCs w:val="22"/>
        </w:rPr>
        <w:t xml:space="preserve">We summarise these distinct approaches under the ESB’s own headings </w:t>
      </w:r>
      <w:r>
        <w:rPr>
          <w:sz w:val="22"/>
          <w:szCs w:val="22"/>
        </w:rPr>
        <w:t>in the following table:</w:t>
      </w:r>
      <w:r w:rsidR="00971598">
        <w:rPr>
          <w:sz w:val="22"/>
          <w:szCs w:val="22"/>
        </w:rPr>
        <w:br w:type="page"/>
      </w:r>
    </w:p>
    <w:p w14:paraId="3C7F6E26" w14:textId="77777777" w:rsidR="00971598" w:rsidRDefault="00971598" w:rsidP="007A4F28">
      <w:pPr>
        <w:sectPr w:rsidR="00971598" w:rsidSect="00B344F1">
          <w:endnotePr>
            <w:numFmt w:val="decimal"/>
          </w:endnotePr>
          <w:type w:val="continuous"/>
          <w:pgSz w:w="16838" w:h="11906" w:orient="landscape"/>
          <w:pgMar w:top="2155" w:right="1616" w:bottom="1588" w:left="1616" w:header="851" w:footer="1191" w:gutter="0"/>
          <w:pgNumType w:start="1"/>
          <w:cols w:num="2" w:space="708"/>
          <w:docGrid w:linePitch="360"/>
        </w:sectPr>
      </w:pPr>
    </w:p>
    <w:tbl>
      <w:tblPr>
        <w:tblStyle w:val="TableGrid"/>
        <w:tblW w:w="13462" w:type="dxa"/>
        <w:tblLook w:val="04A0" w:firstRow="1" w:lastRow="0" w:firstColumn="1" w:lastColumn="0" w:noHBand="0" w:noVBand="1"/>
      </w:tblPr>
      <w:tblGrid>
        <w:gridCol w:w="2131"/>
        <w:gridCol w:w="4064"/>
        <w:gridCol w:w="7267"/>
      </w:tblGrid>
      <w:tr w:rsidR="00971598" w:rsidRPr="00971598" w14:paraId="2BABA065" w14:textId="77777777" w:rsidTr="00921CA6">
        <w:tc>
          <w:tcPr>
            <w:tcW w:w="1980" w:type="dxa"/>
          </w:tcPr>
          <w:p w14:paraId="16FE0DBC" w14:textId="5F0E23C7" w:rsidR="00971598" w:rsidRPr="00971598" w:rsidRDefault="00971598" w:rsidP="007A4F28">
            <w:pPr>
              <w:rPr>
                <w:sz w:val="22"/>
                <w:szCs w:val="22"/>
              </w:rPr>
            </w:pPr>
          </w:p>
        </w:tc>
        <w:tc>
          <w:tcPr>
            <w:tcW w:w="4111" w:type="dxa"/>
          </w:tcPr>
          <w:p w14:paraId="2B6191E1" w14:textId="77777777" w:rsidR="00971598" w:rsidRPr="00971598" w:rsidRDefault="00971598" w:rsidP="00971598">
            <w:pPr>
              <w:ind w:left="3"/>
              <w:rPr>
                <w:b/>
                <w:bCs/>
                <w:sz w:val="22"/>
                <w:szCs w:val="22"/>
              </w:rPr>
            </w:pPr>
            <w:r w:rsidRPr="00971598">
              <w:rPr>
                <w:b/>
                <w:bCs/>
                <w:sz w:val="22"/>
                <w:szCs w:val="22"/>
              </w:rPr>
              <w:t>Administratively determined decentralised capacity market</w:t>
            </w:r>
          </w:p>
        </w:tc>
        <w:tc>
          <w:tcPr>
            <w:tcW w:w="7371" w:type="dxa"/>
          </w:tcPr>
          <w:p w14:paraId="59264180" w14:textId="77777777" w:rsidR="00971598" w:rsidRPr="00971598" w:rsidRDefault="00971598" w:rsidP="00413E0D">
            <w:pPr>
              <w:ind w:hanging="828"/>
              <w:rPr>
                <w:b/>
                <w:bCs/>
                <w:sz w:val="22"/>
                <w:szCs w:val="22"/>
              </w:rPr>
            </w:pPr>
            <w:r w:rsidRPr="00971598">
              <w:rPr>
                <w:b/>
                <w:bCs/>
                <w:sz w:val="22"/>
                <w:szCs w:val="22"/>
              </w:rPr>
              <w:t>Market determined decentralised capacity market</w:t>
            </w:r>
          </w:p>
        </w:tc>
      </w:tr>
      <w:tr w:rsidR="00971598" w:rsidRPr="00971598" w14:paraId="1FE7A552" w14:textId="77777777" w:rsidTr="00921CA6">
        <w:tc>
          <w:tcPr>
            <w:tcW w:w="1980" w:type="dxa"/>
          </w:tcPr>
          <w:p w14:paraId="723514CF" w14:textId="77777777" w:rsidR="00971598" w:rsidRPr="00971598" w:rsidRDefault="00971598" w:rsidP="00971598">
            <w:pPr>
              <w:ind w:hanging="851"/>
              <w:rPr>
                <w:sz w:val="22"/>
                <w:szCs w:val="22"/>
              </w:rPr>
            </w:pPr>
            <w:r w:rsidRPr="00971598">
              <w:rPr>
                <w:sz w:val="22"/>
                <w:szCs w:val="22"/>
              </w:rPr>
              <w:t>Alternative title</w:t>
            </w:r>
          </w:p>
        </w:tc>
        <w:tc>
          <w:tcPr>
            <w:tcW w:w="4111" w:type="dxa"/>
          </w:tcPr>
          <w:p w14:paraId="796C4C65" w14:textId="77777777" w:rsidR="00971598" w:rsidRPr="00971598" w:rsidRDefault="00971598" w:rsidP="00413E0D">
            <w:pPr>
              <w:ind w:left="0" w:firstLine="3"/>
              <w:rPr>
                <w:sz w:val="22"/>
                <w:szCs w:val="22"/>
              </w:rPr>
            </w:pPr>
            <w:r w:rsidRPr="00971598">
              <w:rPr>
                <w:sz w:val="22"/>
                <w:szCs w:val="22"/>
              </w:rPr>
              <w:t>Ex-ante (decentralised) capacity market</w:t>
            </w:r>
          </w:p>
        </w:tc>
        <w:tc>
          <w:tcPr>
            <w:tcW w:w="7371" w:type="dxa"/>
          </w:tcPr>
          <w:p w14:paraId="4ABBC0FE" w14:textId="77777777" w:rsidR="00971598" w:rsidRPr="00971598" w:rsidRDefault="00971598" w:rsidP="00413E0D">
            <w:pPr>
              <w:ind w:hanging="828"/>
              <w:rPr>
                <w:sz w:val="22"/>
                <w:szCs w:val="22"/>
              </w:rPr>
            </w:pPr>
            <w:r w:rsidRPr="00971598">
              <w:rPr>
                <w:sz w:val="22"/>
                <w:szCs w:val="22"/>
              </w:rPr>
              <w:t>Ex-post capacity market</w:t>
            </w:r>
          </w:p>
        </w:tc>
      </w:tr>
      <w:tr w:rsidR="00971598" w:rsidRPr="00971598" w14:paraId="43D203C2" w14:textId="77777777" w:rsidTr="00921CA6">
        <w:tc>
          <w:tcPr>
            <w:tcW w:w="1980" w:type="dxa"/>
          </w:tcPr>
          <w:p w14:paraId="14BDF47D" w14:textId="77777777" w:rsidR="00971598" w:rsidRPr="00971598" w:rsidRDefault="00971598" w:rsidP="00971598">
            <w:pPr>
              <w:ind w:hanging="851"/>
              <w:rPr>
                <w:sz w:val="22"/>
                <w:szCs w:val="22"/>
              </w:rPr>
            </w:pPr>
            <w:r w:rsidRPr="00971598">
              <w:rPr>
                <w:sz w:val="22"/>
                <w:szCs w:val="22"/>
              </w:rPr>
              <w:t xml:space="preserve">Product description </w:t>
            </w:r>
          </w:p>
        </w:tc>
        <w:tc>
          <w:tcPr>
            <w:tcW w:w="4111" w:type="dxa"/>
          </w:tcPr>
          <w:p w14:paraId="56590DA4" w14:textId="77777777" w:rsidR="00971598" w:rsidRPr="00971598" w:rsidRDefault="00971598" w:rsidP="00413E0D">
            <w:pPr>
              <w:ind w:left="3"/>
              <w:rPr>
                <w:sz w:val="22"/>
                <w:szCs w:val="22"/>
              </w:rPr>
            </w:pPr>
            <w:r w:rsidRPr="00971598">
              <w:rPr>
                <w:sz w:val="22"/>
                <w:szCs w:val="22"/>
              </w:rPr>
              <w:t xml:space="preserve">Tradeable capacity units as defined by the rules. Financial contracts not linked to physical supply could be excluded or included. </w:t>
            </w:r>
          </w:p>
        </w:tc>
        <w:tc>
          <w:tcPr>
            <w:tcW w:w="7371" w:type="dxa"/>
          </w:tcPr>
          <w:p w14:paraId="316D2931" w14:textId="77777777" w:rsidR="00971598" w:rsidRPr="00971598" w:rsidRDefault="00971598" w:rsidP="00413E0D">
            <w:pPr>
              <w:ind w:left="23"/>
              <w:rPr>
                <w:sz w:val="22"/>
                <w:szCs w:val="22"/>
              </w:rPr>
            </w:pPr>
            <w:r w:rsidRPr="00971598">
              <w:rPr>
                <w:sz w:val="22"/>
                <w:szCs w:val="22"/>
              </w:rPr>
              <w:t xml:space="preserve">Tradeable capacity units as defined by the rules. For integrity, units must be linked to physical supply. </w:t>
            </w:r>
          </w:p>
        </w:tc>
      </w:tr>
      <w:tr w:rsidR="00971598" w:rsidRPr="00971598" w14:paraId="0623A57A" w14:textId="77777777" w:rsidTr="00921CA6">
        <w:tc>
          <w:tcPr>
            <w:tcW w:w="1980" w:type="dxa"/>
          </w:tcPr>
          <w:p w14:paraId="6AE703D6" w14:textId="77777777" w:rsidR="00971598" w:rsidRPr="00971598" w:rsidRDefault="00971598" w:rsidP="00971598">
            <w:pPr>
              <w:ind w:hanging="851"/>
              <w:rPr>
                <w:sz w:val="22"/>
                <w:szCs w:val="22"/>
              </w:rPr>
            </w:pPr>
            <w:r w:rsidRPr="00971598">
              <w:rPr>
                <w:sz w:val="22"/>
                <w:szCs w:val="22"/>
              </w:rPr>
              <w:t>Obligation</w:t>
            </w:r>
          </w:p>
        </w:tc>
        <w:tc>
          <w:tcPr>
            <w:tcW w:w="4111" w:type="dxa"/>
          </w:tcPr>
          <w:p w14:paraId="3B8B2B31" w14:textId="77777777" w:rsidR="00971598" w:rsidRPr="00971598" w:rsidRDefault="00971598" w:rsidP="00413E0D">
            <w:pPr>
              <w:ind w:left="3"/>
              <w:rPr>
                <w:sz w:val="22"/>
                <w:szCs w:val="22"/>
              </w:rPr>
            </w:pPr>
            <w:r w:rsidRPr="00971598">
              <w:rPr>
                <w:sz w:val="22"/>
                <w:szCs w:val="22"/>
              </w:rPr>
              <w:t>Administratively determined ex-ante capacity requirement, translated to the level of individual market customers</w:t>
            </w:r>
          </w:p>
        </w:tc>
        <w:tc>
          <w:tcPr>
            <w:tcW w:w="7371" w:type="dxa"/>
          </w:tcPr>
          <w:p w14:paraId="6504D9C7" w14:textId="77777777" w:rsidR="00971598" w:rsidRPr="00971598" w:rsidRDefault="00971598" w:rsidP="00413E0D">
            <w:pPr>
              <w:ind w:left="23"/>
              <w:rPr>
                <w:sz w:val="22"/>
                <w:szCs w:val="22"/>
              </w:rPr>
            </w:pPr>
            <w:r w:rsidRPr="00971598">
              <w:rPr>
                <w:sz w:val="22"/>
                <w:szCs w:val="22"/>
              </w:rPr>
              <w:t xml:space="preserve">Determined ex-post based on actual market outcomes (i.e. unserved energy and RERT events). If a market customer has fewer capacity units than their demand during a shortfall event, they would face a penalty for this shortfall. </w:t>
            </w:r>
          </w:p>
        </w:tc>
      </w:tr>
      <w:tr w:rsidR="00971598" w:rsidRPr="00971598" w14:paraId="603D6F6B" w14:textId="77777777" w:rsidTr="00921CA6">
        <w:tc>
          <w:tcPr>
            <w:tcW w:w="1980" w:type="dxa"/>
          </w:tcPr>
          <w:p w14:paraId="208FE84D" w14:textId="77777777" w:rsidR="00971598" w:rsidRPr="00971598" w:rsidRDefault="00971598" w:rsidP="00971598">
            <w:pPr>
              <w:ind w:left="-120"/>
              <w:rPr>
                <w:sz w:val="22"/>
                <w:szCs w:val="22"/>
              </w:rPr>
            </w:pPr>
            <w:r w:rsidRPr="00971598">
              <w:rPr>
                <w:sz w:val="22"/>
                <w:szCs w:val="22"/>
              </w:rPr>
              <w:t>Procurement approach</w:t>
            </w:r>
          </w:p>
        </w:tc>
        <w:tc>
          <w:tcPr>
            <w:tcW w:w="4111" w:type="dxa"/>
          </w:tcPr>
          <w:p w14:paraId="4BCFA78A" w14:textId="77777777" w:rsidR="00971598" w:rsidRPr="00971598" w:rsidRDefault="00971598" w:rsidP="00413E0D">
            <w:pPr>
              <w:ind w:left="3"/>
              <w:rPr>
                <w:sz w:val="22"/>
                <w:szCs w:val="22"/>
              </w:rPr>
            </w:pPr>
            <w:r w:rsidRPr="00971598">
              <w:rPr>
                <w:sz w:val="22"/>
                <w:szCs w:val="22"/>
              </w:rPr>
              <w:t>Rules determine what products can and cannot be used to meet the ex-ante capacity requirement</w:t>
            </w:r>
          </w:p>
        </w:tc>
        <w:tc>
          <w:tcPr>
            <w:tcW w:w="7371" w:type="dxa"/>
          </w:tcPr>
          <w:p w14:paraId="785B439A" w14:textId="77777777" w:rsidR="00971598" w:rsidRPr="00971598" w:rsidRDefault="00971598" w:rsidP="00413E0D">
            <w:pPr>
              <w:ind w:left="23"/>
              <w:rPr>
                <w:sz w:val="22"/>
                <w:szCs w:val="22"/>
              </w:rPr>
            </w:pPr>
            <w:r w:rsidRPr="00971598">
              <w:rPr>
                <w:sz w:val="22"/>
                <w:szCs w:val="22"/>
              </w:rPr>
              <w:t xml:space="preserve">Market customers determine what supply contracts to procure, and what assets to build/own, based on financial risks arising under the enforcement regime.  </w:t>
            </w:r>
          </w:p>
        </w:tc>
      </w:tr>
      <w:tr w:rsidR="00971598" w:rsidRPr="00971598" w14:paraId="6A2506D4" w14:textId="77777777" w:rsidTr="00921CA6">
        <w:tc>
          <w:tcPr>
            <w:tcW w:w="1980" w:type="dxa"/>
          </w:tcPr>
          <w:p w14:paraId="2FE83B1B" w14:textId="77777777" w:rsidR="00971598" w:rsidRPr="00971598" w:rsidRDefault="00971598" w:rsidP="00971598">
            <w:pPr>
              <w:ind w:hanging="851"/>
              <w:rPr>
                <w:sz w:val="22"/>
                <w:szCs w:val="22"/>
              </w:rPr>
            </w:pPr>
            <w:r w:rsidRPr="00971598">
              <w:rPr>
                <w:sz w:val="22"/>
                <w:szCs w:val="22"/>
              </w:rPr>
              <w:t>Enforcement</w:t>
            </w:r>
          </w:p>
        </w:tc>
        <w:tc>
          <w:tcPr>
            <w:tcW w:w="4111" w:type="dxa"/>
          </w:tcPr>
          <w:p w14:paraId="7B304F79" w14:textId="77777777" w:rsidR="00971598" w:rsidRPr="00971598" w:rsidRDefault="00971598" w:rsidP="00413E0D">
            <w:pPr>
              <w:ind w:left="0" w:firstLine="3"/>
              <w:rPr>
                <w:sz w:val="22"/>
                <w:szCs w:val="22"/>
              </w:rPr>
            </w:pPr>
            <w:r w:rsidRPr="00971598">
              <w:rPr>
                <w:sz w:val="22"/>
                <w:szCs w:val="22"/>
              </w:rPr>
              <w:t xml:space="preserve">Rules determine the penalties applying if market customers do not hold sufficient complying products ex-ante. </w:t>
            </w:r>
          </w:p>
        </w:tc>
        <w:tc>
          <w:tcPr>
            <w:tcW w:w="7371" w:type="dxa"/>
          </w:tcPr>
          <w:p w14:paraId="0765DEE7" w14:textId="1A8B9D93" w:rsidR="00971598" w:rsidRPr="00971598" w:rsidRDefault="00971598" w:rsidP="00413E0D">
            <w:pPr>
              <w:ind w:left="0"/>
              <w:rPr>
                <w:sz w:val="22"/>
                <w:szCs w:val="22"/>
              </w:rPr>
            </w:pPr>
            <w:r w:rsidRPr="00971598">
              <w:rPr>
                <w:sz w:val="22"/>
                <w:szCs w:val="22"/>
              </w:rPr>
              <w:t xml:space="preserve">Market customers held responsible for, and pay for the cost to consumers of, shortfalls and RERT events after the event (ex-post), in accordance with the obligation described above. Rules determine how these costs are apportioned to market customers. </w:t>
            </w:r>
            <w:r w:rsidR="00F42B04">
              <w:rPr>
                <w:sz w:val="22"/>
                <w:szCs w:val="22"/>
              </w:rPr>
              <w:t>If no shortfall</w:t>
            </w:r>
            <w:r w:rsidR="00253F1A">
              <w:rPr>
                <w:sz w:val="22"/>
                <w:szCs w:val="22"/>
              </w:rPr>
              <w:t xml:space="preserve"> or </w:t>
            </w:r>
            <w:r w:rsidR="00F42B04">
              <w:rPr>
                <w:sz w:val="22"/>
                <w:szCs w:val="22"/>
              </w:rPr>
              <w:t xml:space="preserve">RERT events occur, no penalties accrue. </w:t>
            </w:r>
          </w:p>
        </w:tc>
      </w:tr>
      <w:tr w:rsidR="00971598" w:rsidRPr="00971598" w14:paraId="1499392C" w14:textId="77777777" w:rsidTr="00921CA6">
        <w:tc>
          <w:tcPr>
            <w:tcW w:w="1980" w:type="dxa"/>
          </w:tcPr>
          <w:p w14:paraId="2983D4B9" w14:textId="77777777" w:rsidR="00971598" w:rsidRPr="00971598" w:rsidRDefault="00971598" w:rsidP="00971598">
            <w:pPr>
              <w:ind w:hanging="851"/>
              <w:rPr>
                <w:sz w:val="22"/>
                <w:szCs w:val="22"/>
              </w:rPr>
            </w:pPr>
            <w:r w:rsidRPr="00971598">
              <w:rPr>
                <w:sz w:val="22"/>
                <w:szCs w:val="22"/>
              </w:rPr>
              <w:t>Pricing</w:t>
            </w:r>
          </w:p>
        </w:tc>
        <w:tc>
          <w:tcPr>
            <w:tcW w:w="4111" w:type="dxa"/>
          </w:tcPr>
          <w:p w14:paraId="418491A7" w14:textId="77777777" w:rsidR="00971598" w:rsidRPr="00971598" w:rsidRDefault="00971598" w:rsidP="00413E0D">
            <w:pPr>
              <w:ind w:left="3"/>
              <w:rPr>
                <w:sz w:val="22"/>
                <w:szCs w:val="22"/>
              </w:rPr>
            </w:pPr>
            <w:r w:rsidRPr="00971598">
              <w:rPr>
                <w:sz w:val="22"/>
                <w:szCs w:val="22"/>
              </w:rPr>
              <w:t>Separate price for defined capacity products</w:t>
            </w:r>
          </w:p>
        </w:tc>
        <w:tc>
          <w:tcPr>
            <w:tcW w:w="7371" w:type="dxa"/>
          </w:tcPr>
          <w:p w14:paraId="15D48258" w14:textId="77777777" w:rsidR="00971598" w:rsidRPr="00971598" w:rsidRDefault="00971598" w:rsidP="00413E0D">
            <w:pPr>
              <w:ind w:left="0" w:firstLine="23"/>
              <w:rPr>
                <w:sz w:val="22"/>
                <w:szCs w:val="22"/>
              </w:rPr>
            </w:pPr>
            <w:r w:rsidRPr="00971598">
              <w:rPr>
                <w:sz w:val="22"/>
                <w:szCs w:val="22"/>
              </w:rPr>
              <w:t xml:space="preserve">Separate price for defined capacity products. Different sub-markets may emerge, depending on whether the buyer or the seller bear the risk of non-delivery. </w:t>
            </w:r>
          </w:p>
        </w:tc>
      </w:tr>
      <w:tr w:rsidR="00971598" w:rsidRPr="00971598" w14:paraId="37E57D4C" w14:textId="77777777" w:rsidTr="00921CA6">
        <w:tc>
          <w:tcPr>
            <w:tcW w:w="1980" w:type="dxa"/>
          </w:tcPr>
          <w:p w14:paraId="5533003C" w14:textId="77777777" w:rsidR="00971598" w:rsidRPr="00971598" w:rsidRDefault="00971598" w:rsidP="00971598">
            <w:pPr>
              <w:ind w:hanging="829"/>
              <w:rPr>
                <w:sz w:val="22"/>
                <w:szCs w:val="22"/>
              </w:rPr>
            </w:pPr>
            <w:r w:rsidRPr="00971598">
              <w:rPr>
                <w:sz w:val="22"/>
                <w:szCs w:val="22"/>
              </w:rPr>
              <w:lastRenderedPageBreak/>
              <w:t>Underlying premise</w:t>
            </w:r>
          </w:p>
        </w:tc>
        <w:tc>
          <w:tcPr>
            <w:tcW w:w="4111" w:type="dxa"/>
          </w:tcPr>
          <w:p w14:paraId="209CE0EE" w14:textId="194B38E7" w:rsidR="00971598" w:rsidRPr="00971598" w:rsidRDefault="00971598" w:rsidP="00413E0D">
            <w:pPr>
              <w:ind w:left="3" w:hanging="3"/>
              <w:rPr>
                <w:sz w:val="22"/>
                <w:szCs w:val="22"/>
              </w:rPr>
            </w:pPr>
            <w:r w:rsidRPr="00971598">
              <w:rPr>
                <w:sz w:val="22"/>
                <w:szCs w:val="22"/>
              </w:rPr>
              <w:t xml:space="preserve">An ex-ante requirement is needed to drive investment and will give policy-makers confidence that the market has sufficient coverage ahead of time. </w:t>
            </w:r>
          </w:p>
        </w:tc>
        <w:tc>
          <w:tcPr>
            <w:tcW w:w="7371" w:type="dxa"/>
          </w:tcPr>
          <w:p w14:paraId="3D6DC9DA" w14:textId="2B2ED1F9" w:rsidR="00971598" w:rsidRPr="00971598" w:rsidRDefault="00971598" w:rsidP="00413E0D">
            <w:pPr>
              <w:ind w:left="23"/>
              <w:rPr>
                <w:sz w:val="22"/>
                <w:szCs w:val="22"/>
              </w:rPr>
            </w:pPr>
            <w:r w:rsidRPr="00971598">
              <w:rPr>
                <w:sz w:val="22"/>
                <w:szCs w:val="22"/>
              </w:rPr>
              <w:t xml:space="preserve">That imposing penalties on ex-post outcomes will lead to market participants owning or contracting with more generation to manage their financial risks. </w:t>
            </w:r>
            <w:r w:rsidR="00B56EE1">
              <w:rPr>
                <w:sz w:val="22"/>
                <w:szCs w:val="22"/>
              </w:rPr>
              <w:t xml:space="preserve">This is consistent with the original premise of the NEM, that an energy-only market with a high market price cap will create </w:t>
            </w:r>
            <w:r w:rsidR="00253F1A">
              <w:rPr>
                <w:sz w:val="22"/>
                <w:szCs w:val="22"/>
              </w:rPr>
              <w:t>sufficient</w:t>
            </w:r>
            <w:r w:rsidR="00B56EE1">
              <w:rPr>
                <w:sz w:val="22"/>
                <w:szCs w:val="22"/>
              </w:rPr>
              <w:t xml:space="preserve"> financial incentives to support reliability. </w:t>
            </w:r>
          </w:p>
        </w:tc>
      </w:tr>
    </w:tbl>
    <w:p w14:paraId="54D64A7F" w14:textId="77777777" w:rsidR="00971598" w:rsidRDefault="00971598" w:rsidP="00CB729B">
      <w:pPr>
        <w:ind w:left="0"/>
        <w:sectPr w:rsidR="00971598" w:rsidSect="00971598">
          <w:endnotePr>
            <w:numFmt w:val="decimal"/>
          </w:endnotePr>
          <w:type w:val="continuous"/>
          <w:pgSz w:w="16838" w:h="11906" w:orient="landscape"/>
          <w:pgMar w:top="2155" w:right="1616" w:bottom="1588" w:left="1616" w:header="851" w:footer="1191" w:gutter="0"/>
          <w:pgNumType w:start="1"/>
          <w:cols w:space="708"/>
          <w:docGrid w:linePitch="360"/>
        </w:sectPr>
      </w:pPr>
    </w:p>
    <w:p w14:paraId="73541407" w14:textId="77777777" w:rsidR="000B6686" w:rsidRPr="000B6686" w:rsidRDefault="000B6686" w:rsidP="000B6686">
      <w:pPr>
        <w:ind w:left="0"/>
        <w:rPr>
          <w:sz w:val="22"/>
          <w:szCs w:val="22"/>
        </w:rPr>
      </w:pPr>
      <w:r w:rsidRPr="000B6686">
        <w:rPr>
          <w:sz w:val="22"/>
          <w:szCs w:val="22"/>
        </w:rPr>
        <w:t xml:space="preserve">Our initial position is that the ex-post model is superior to the ex-ante model. The primary reason is that market customers (e.g. retailers) bear the consequences of procuring too many or two few reliability units under the ex-ante model. If they over-procure, they may not be able to recover these costs from their customers (in a competitive market). And if they under-procure, they will bear the cost of RERT or shortfall events that may arise. </w:t>
      </w:r>
    </w:p>
    <w:p w14:paraId="7B91589C" w14:textId="77777777" w:rsidR="000B6686" w:rsidRPr="000B6686" w:rsidRDefault="000B6686" w:rsidP="000B6686">
      <w:pPr>
        <w:ind w:left="0"/>
        <w:rPr>
          <w:sz w:val="22"/>
          <w:szCs w:val="22"/>
        </w:rPr>
      </w:pPr>
      <w:r w:rsidRPr="000B6686">
        <w:rPr>
          <w:sz w:val="22"/>
          <w:szCs w:val="22"/>
        </w:rPr>
        <w:t xml:space="preserve">By contrast, under an ex-ante model, consumers bear the consequences of any misspecification of the desired level of reliability. If the system operator procures too few reliability units to maintain reliability (either by under-estimating demand, or by over-estimating the reliability of different classes of generators), consumers face worse reliability. Or if the rules over-specify (either through over-estimating demand or under-estimating the reliability of different classes of generators) consumers will face higher power bills. </w:t>
      </w:r>
    </w:p>
    <w:p w14:paraId="1201537C" w14:textId="77777777" w:rsidR="000B6686" w:rsidRPr="000B6686" w:rsidRDefault="000B6686" w:rsidP="000B6686">
      <w:pPr>
        <w:ind w:left="0"/>
        <w:rPr>
          <w:sz w:val="22"/>
          <w:szCs w:val="22"/>
        </w:rPr>
      </w:pPr>
      <w:r w:rsidRPr="000B6686">
        <w:rPr>
          <w:sz w:val="22"/>
          <w:szCs w:val="22"/>
        </w:rPr>
        <w:t xml:space="preserve">In our view, an ex-post capacity market should pass back to ‘short’ market customers not only a share of RERT costs (as occurs under the RRO), but also a monetised cost of unserved energy. Broadly this would be calculated as the estimated amount </w:t>
      </w:r>
      <w:r w:rsidRPr="000B6686">
        <w:rPr>
          <w:sz w:val="22"/>
          <w:szCs w:val="22"/>
        </w:rPr>
        <w:t xml:space="preserve">of energy not served, multiplied by each customer’s estimated value of lost load (grouped by customer class). This money should be paid to the customers that were curtailed, as compensation for the curtailment.  </w:t>
      </w:r>
    </w:p>
    <w:p w14:paraId="2AE95CCF" w14:textId="77777777" w:rsidR="00E37C05" w:rsidRDefault="000B6686" w:rsidP="000B6686">
      <w:pPr>
        <w:ind w:left="0"/>
        <w:rPr>
          <w:sz w:val="22"/>
          <w:szCs w:val="22"/>
        </w:rPr>
      </w:pPr>
      <w:r w:rsidRPr="000B6686">
        <w:rPr>
          <w:sz w:val="22"/>
          <w:szCs w:val="22"/>
        </w:rPr>
        <w:t>This model has some similarities to the French capacity mechanism. The main difference is that the French system assesses compliance based on availability in peak periods for every year, whether there is a shortfall</w:t>
      </w:r>
      <w:r>
        <w:rPr>
          <w:sz w:val="22"/>
          <w:szCs w:val="22"/>
        </w:rPr>
        <w:t xml:space="preserve"> or not</w:t>
      </w:r>
      <w:r w:rsidRPr="000B6686">
        <w:rPr>
          <w:sz w:val="22"/>
          <w:szCs w:val="22"/>
        </w:rPr>
        <w:t>. In our proposed model, compliance would only be assessed if there is a shortfall or a RERT event.</w:t>
      </w:r>
    </w:p>
    <w:p w14:paraId="57EC646F" w14:textId="6CD96E97" w:rsidR="000B6686" w:rsidRDefault="00E37C05" w:rsidP="000B6686">
      <w:pPr>
        <w:ind w:left="0"/>
        <w:rPr>
          <w:sz w:val="22"/>
          <w:szCs w:val="22"/>
        </w:rPr>
      </w:pPr>
      <w:r>
        <w:rPr>
          <w:sz w:val="22"/>
          <w:szCs w:val="22"/>
        </w:rPr>
        <w:t xml:space="preserve">In summary, </w:t>
      </w:r>
      <w:r w:rsidRPr="00E37C05">
        <w:rPr>
          <w:sz w:val="22"/>
          <w:szCs w:val="22"/>
        </w:rPr>
        <w:t xml:space="preserve">we support a </w:t>
      </w:r>
      <w:r>
        <w:rPr>
          <w:sz w:val="22"/>
          <w:szCs w:val="22"/>
        </w:rPr>
        <w:t>market-determined capacity market</w:t>
      </w:r>
      <w:r w:rsidRPr="00E37C05">
        <w:rPr>
          <w:sz w:val="22"/>
          <w:szCs w:val="22"/>
        </w:rPr>
        <w:t xml:space="preserve"> utilising commercial market drivers. But there are risks. The next steps must involve comprehensive stakeholder consultation on design details to avoid unintended consequences and address identified risks.</w:t>
      </w:r>
      <w:r w:rsidR="000B6686" w:rsidRPr="00E37C05">
        <w:rPr>
          <w:sz w:val="22"/>
          <w:szCs w:val="22"/>
        </w:rPr>
        <w:t xml:space="preserve"> </w:t>
      </w:r>
    </w:p>
    <w:p w14:paraId="6C748107" w14:textId="6DC8377A" w:rsidR="00260590" w:rsidRPr="00E37C05" w:rsidRDefault="00260590" w:rsidP="000B6686">
      <w:pPr>
        <w:ind w:left="0"/>
        <w:rPr>
          <w:sz w:val="22"/>
          <w:szCs w:val="22"/>
        </w:rPr>
      </w:pPr>
      <w:r>
        <w:rPr>
          <w:sz w:val="22"/>
          <w:szCs w:val="22"/>
        </w:rPr>
        <w:t xml:space="preserve">Implied above is support for the RERT, if only to provide a safety valve that can provide comfort to ministers at relatively low cost. </w:t>
      </w:r>
      <w:r w:rsidR="005F26BB">
        <w:rPr>
          <w:sz w:val="22"/>
          <w:szCs w:val="22"/>
        </w:rPr>
        <w:t>We would emphasise that we are unconvinced of the need for the recently introduced Interim Reliability Measure.</w:t>
      </w:r>
    </w:p>
    <w:p w14:paraId="7CC303BA" w14:textId="77777777" w:rsidR="00B5044E" w:rsidRPr="00B5044E" w:rsidRDefault="00B5044E" w:rsidP="00B5044E">
      <w:pPr>
        <w:pStyle w:val="BodyText"/>
      </w:pPr>
    </w:p>
    <w:p w14:paraId="6772C58C" w14:textId="5CF741D2" w:rsidR="00CE0CDE" w:rsidRDefault="002118DD" w:rsidP="00D244DB">
      <w:pPr>
        <w:pStyle w:val="Heading2"/>
      </w:pPr>
      <w:r>
        <w:lastRenderedPageBreak/>
        <w:t>Ageing thermal generation strategy</w:t>
      </w:r>
    </w:p>
    <w:p w14:paraId="4FF9A700" w14:textId="716B942C" w:rsidR="00E37C05" w:rsidRDefault="00E37C05" w:rsidP="00CF198B">
      <w:pPr>
        <w:ind w:left="0"/>
        <w:rPr>
          <w:sz w:val="22"/>
          <w:szCs w:val="22"/>
        </w:rPr>
      </w:pPr>
      <w:r w:rsidRPr="0064274A">
        <w:rPr>
          <w:sz w:val="22"/>
          <w:szCs w:val="22"/>
        </w:rPr>
        <w:t>Australia’s coal fleet is ageing and will progressively be retired over coming decades. But the timing of individual plant closures is highly uncertain</w:t>
      </w:r>
      <w:r w:rsidR="0064274A">
        <w:rPr>
          <w:sz w:val="22"/>
          <w:szCs w:val="22"/>
        </w:rPr>
        <w:t>,</w:t>
      </w:r>
      <w:r w:rsidRPr="0064274A">
        <w:rPr>
          <w:sz w:val="22"/>
          <w:szCs w:val="22"/>
        </w:rPr>
        <w:t xml:space="preserve"> and the large size of many coal power stations makes it hard for the market to manage sudden retirements. The abrupt closures of the Northern and Hazelwood power stations in 2016 and 2017 respectively have heightened political concerns that future closures will increase price and reduce reliability</w:t>
      </w:r>
      <w:r w:rsidR="0064274A">
        <w:rPr>
          <w:sz w:val="22"/>
          <w:szCs w:val="22"/>
        </w:rPr>
        <w:t>.</w:t>
      </w:r>
    </w:p>
    <w:p w14:paraId="5EC8BD45" w14:textId="77777777" w:rsidR="0064274A" w:rsidRDefault="0064274A" w:rsidP="00CF198B">
      <w:pPr>
        <w:ind w:left="0"/>
        <w:rPr>
          <w:sz w:val="22"/>
          <w:szCs w:val="22"/>
        </w:rPr>
      </w:pPr>
      <w:r w:rsidRPr="0064274A">
        <w:rPr>
          <w:sz w:val="22"/>
          <w:szCs w:val="22"/>
        </w:rPr>
        <w:t xml:space="preserve">The introduction of a three-year notice of closure rule was a positive step but is unlikely to be </w:t>
      </w:r>
      <w:r>
        <w:rPr>
          <w:sz w:val="22"/>
          <w:szCs w:val="22"/>
        </w:rPr>
        <w:t>effective with the modest penalties for non-compliance</w:t>
      </w:r>
      <w:r w:rsidRPr="0064274A">
        <w:rPr>
          <w:sz w:val="22"/>
          <w:szCs w:val="22"/>
        </w:rPr>
        <w:t xml:space="preserve">. </w:t>
      </w:r>
      <w:r>
        <w:rPr>
          <w:sz w:val="22"/>
          <w:szCs w:val="22"/>
        </w:rPr>
        <w:t xml:space="preserve">In our 2019 report, </w:t>
      </w:r>
      <w:r w:rsidRPr="0064274A">
        <w:rPr>
          <w:i/>
          <w:iCs/>
          <w:sz w:val="22"/>
          <w:szCs w:val="22"/>
        </w:rPr>
        <w:t>Power Play: how governments can better direct Australia’s electricity market</w:t>
      </w:r>
      <w:r>
        <w:rPr>
          <w:sz w:val="22"/>
          <w:szCs w:val="22"/>
        </w:rPr>
        <w:t xml:space="preserve"> </w:t>
      </w:r>
      <w:r>
        <w:rPr>
          <w:rStyle w:val="FootnoteReference"/>
          <w:sz w:val="22"/>
          <w:szCs w:val="22"/>
        </w:rPr>
        <w:footnoteReference w:id="4"/>
      </w:r>
      <w:r>
        <w:rPr>
          <w:sz w:val="22"/>
          <w:szCs w:val="22"/>
        </w:rPr>
        <w:t>, we concluded that a</w:t>
      </w:r>
      <w:r w:rsidRPr="0064274A">
        <w:rPr>
          <w:sz w:val="22"/>
          <w:szCs w:val="22"/>
        </w:rPr>
        <w:t xml:space="preserve"> transparent and rules-based approach is needed to promote orderly retirement. </w:t>
      </w:r>
    </w:p>
    <w:p w14:paraId="4AA7425C" w14:textId="3D414BFA" w:rsidR="002118DD" w:rsidRDefault="0064274A" w:rsidP="00CF198B">
      <w:pPr>
        <w:ind w:left="0"/>
        <w:rPr>
          <w:sz w:val="22"/>
          <w:szCs w:val="22"/>
        </w:rPr>
      </w:pPr>
      <w:r>
        <w:rPr>
          <w:sz w:val="22"/>
          <w:szCs w:val="22"/>
        </w:rPr>
        <w:t>As referenced in the Consultation paper, w</w:t>
      </w:r>
      <w:r w:rsidRPr="0064274A">
        <w:rPr>
          <w:sz w:val="22"/>
          <w:szCs w:val="22"/>
        </w:rPr>
        <w:t>e recommend requiring generators to place funds into escrow to ensure they comply with nominated closure dates. If the generator closes within the nominated window it would have these funds returned, but not if it failed to comply. This financial incentive would be much stronger than compliance incentives under the existing three-year notice rule.</w:t>
      </w:r>
      <w:r>
        <w:rPr>
          <w:sz w:val="22"/>
          <w:szCs w:val="22"/>
        </w:rPr>
        <w:t xml:space="preserve"> </w:t>
      </w:r>
      <w:r w:rsidR="003E62CB">
        <w:rPr>
          <w:sz w:val="22"/>
          <w:szCs w:val="22"/>
        </w:rPr>
        <w:t>In the report, w</w:t>
      </w:r>
      <w:r>
        <w:rPr>
          <w:sz w:val="22"/>
          <w:szCs w:val="22"/>
        </w:rPr>
        <w:t>e set out the proposal and why it should be supported.</w:t>
      </w:r>
    </w:p>
    <w:p w14:paraId="1D0CD2F6" w14:textId="77777777" w:rsidR="009C3818" w:rsidRPr="0064274A" w:rsidRDefault="009C3818" w:rsidP="00CF198B">
      <w:pPr>
        <w:ind w:left="0"/>
        <w:rPr>
          <w:sz w:val="22"/>
          <w:szCs w:val="22"/>
        </w:rPr>
      </w:pPr>
    </w:p>
    <w:p w14:paraId="0ACD7630" w14:textId="43194715" w:rsidR="000D1797" w:rsidRDefault="002118DD" w:rsidP="00B31FE8">
      <w:pPr>
        <w:pStyle w:val="Heading2"/>
      </w:pPr>
      <w:r>
        <w:t>Essential system services</w:t>
      </w:r>
    </w:p>
    <w:p w14:paraId="2AE2F531" w14:textId="599189CA" w:rsidR="0072192C" w:rsidRDefault="009C3818" w:rsidP="009C3818">
      <w:pPr>
        <w:pStyle w:val="BodyText"/>
      </w:pPr>
      <w:r>
        <w:t xml:space="preserve">The different technical characteristics of the changing generation mix became clearer over the last five years, triggering a belated response for the market agencies to identify and, where necessary, introduce changes </w:t>
      </w:r>
      <w:r w:rsidR="003E62CB">
        <w:t xml:space="preserve">to </w:t>
      </w:r>
      <w:r>
        <w:t xml:space="preserve">rules and management processes. </w:t>
      </w:r>
      <w:r w:rsidR="0072192C">
        <w:t xml:space="preserve">Relevant reforms have already been delivered through the AEMC’s rule change process, and a range of relevant </w:t>
      </w:r>
      <w:r w:rsidR="00C97FA5">
        <w:t xml:space="preserve">further changes and </w:t>
      </w:r>
      <w:r w:rsidR="0072192C">
        <w:t xml:space="preserve">proposals are being considered through that </w:t>
      </w:r>
      <w:r w:rsidR="00C97FA5">
        <w:t xml:space="preserve">same </w:t>
      </w:r>
      <w:r w:rsidR="0072192C">
        <w:t>process</w:t>
      </w:r>
      <w:r w:rsidR="005F046F">
        <w:t xml:space="preserve"> – for example, the AEMC’s review of system strength frameworks, and a range of rule changes on operating reserves and other system services</w:t>
      </w:r>
      <w:r w:rsidR="0072192C">
        <w:t xml:space="preserve">.  </w:t>
      </w:r>
    </w:p>
    <w:p w14:paraId="34B367FE" w14:textId="227C8B6D" w:rsidR="0072192C" w:rsidRDefault="00B56EE1" w:rsidP="009C3818">
      <w:pPr>
        <w:pStyle w:val="BodyText"/>
      </w:pPr>
      <w:r>
        <w:t>It is unclear whether the ESB’s work will over-ride</w:t>
      </w:r>
      <w:r w:rsidR="0072192C">
        <w:t xml:space="preserve"> past rule changes</w:t>
      </w:r>
      <w:r w:rsidR="00C97FA5">
        <w:t xml:space="preserve"> or those</w:t>
      </w:r>
      <w:r w:rsidR="0072192C">
        <w:t xml:space="preserve"> currently under consideration, or </w:t>
      </w:r>
      <w:r>
        <w:t xml:space="preserve">take </w:t>
      </w:r>
      <w:r w:rsidR="0072192C">
        <w:t>these</w:t>
      </w:r>
      <w:r>
        <w:t xml:space="preserve"> as given, or amend </w:t>
      </w:r>
      <w:r w:rsidR="0072192C">
        <w:t>them</w:t>
      </w:r>
      <w:r>
        <w:t xml:space="preserve"> incrementally. We think this creates significant uncertainty and scope for ‘forum-shopping’ if stakeholders do not like the AEMC’s conclusions. </w:t>
      </w:r>
    </w:p>
    <w:p w14:paraId="3BC8D4E2" w14:textId="5D476A6E" w:rsidR="009C3818" w:rsidRDefault="0072192C" w:rsidP="009C3818">
      <w:pPr>
        <w:pStyle w:val="BodyText"/>
      </w:pPr>
      <w:r>
        <w:t xml:space="preserve">We also think the interaction between essential system services and scheduling and ahead mechanisms is over-stated. As the ESB notes, system strength is not well suited to dynamic spot market delivery, and so it must be procured ahead of time. This in turn means that these services do not need to be scheduled </w:t>
      </w:r>
      <w:r w:rsidR="00C97FA5">
        <w:t xml:space="preserve">through an </w:t>
      </w:r>
      <w:r>
        <w:t>‘ahead’</w:t>
      </w:r>
      <w:r w:rsidR="00C97FA5">
        <w:t xml:space="preserve"> market that is integra</w:t>
      </w:r>
      <w:r>
        <w:t xml:space="preserve">ted with the broader market design. As some providers of system strength can also provide inertia, this also weakens the case for integrated ‘ahead’ scheduling of inertia services (though the case for an inertia market is stronger). </w:t>
      </w:r>
    </w:p>
    <w:p w14:paraId="74FDF950" w14:textId="3BE71E5A" w:rsidR="0072192C" w:rsidRPr="009C3818" w:rsidRDefault="0072192C" w:rsidP="009C3818">
      <w:pPr>
        <w:pStyle w:val="BodyText"/>
      </w:pPr>
      <w:r>
        <w:lastRenderedPageBreak/>
        <w:t xml:space="preserve">Given this, we argue that it is very difficult to consider the ESB’s discussions of essential system security services until the AEMC’s current relevant work has concluded.  </w:t>
      </w:r>
    </w:p>
    <w:p w14:paraId="6B1EDCB4" w14:textId="229BBD4B" w:rsidR="00B31FE8" w:rsidRDefault="002118DD" w:rsidP="00D244DB">
      <w:pPr>
        <w:pStyle w:val="Heading2"/>
      </w:pPr>
      <w:r>
        <w:t>Scheduling and ahead mechanisms</w:t>
      </w:r>
    </w:p>
    <w:p w14:paraId="4BB99BE5" w14:textId="17CAD99A" w:rsidR="009C3818" w:rsidRPr="009C3818" w:rsidRDefault="00260590" w:rsidP="009C3818">
      <w:pPr>
        <w:pStyle w:val="BodyText"/>
      </w:pPr>
      <w:r>
        <w:t xml:space="preserve">The Consultation Paper indicates that the ESB supports a need for AEMO to be able to activate certain market services ahead of time. We are unconvinced that this is a priority issue. </w:t>
      </w:r>
      <w:r w:rsidR="0072192C">
        <w:t>The benefits may be overstated, but on balance</w:t>
      </w:r>
      <w:r>
        <w:t xml:space="preserve"> we support the ESB’s preferred Unit Commitment for Security mechanism as at least doing do harm.</w:t>
      </w:r>
    </w:p>
    <w:p w14:paraId="3D9E750C" w14:textId="35052554" w:rsidR="002118DD" w:rsidRDefault="002118DD" w:rsidP="002118DD">
      <w:pPr>
        <w:pStyle w:val="Heading2"/>
      </w:pPr>
      <w:r>
        <w:t>Two-sided markets</w:t>
      </w:r>
    </w:p>
    <w:p w14:paraId="1EC5C23B" w14:textId="568F2B1E" w:rsidR="0072192C" w:rsidRDefault="005F26BB" w:rsidP="005F26BB">
      <w:pPr>
        <w:pStyle w:val="BodyText"/>
      </w:pPr>
      <w:r>
        <w:t xml:space="preserve">The Consultation Paper observes that the “responsiveness of the demand side, and the ability of consumers to access value associated with demand response, is growing and will continue to grow.” </w:t>
      </w:r>
      <w:r w:rsidR="00FF570F">
        <w:t xml:space="preserve">We strongly support this development and the growing </w:t>
      </w:r>
      <w:r w:rsidR="00B1156E">
        <w:t>d</w:t>
      </w:r>
      <w:r w:rsidR="00FF570F">
        <w:t>iversity of suppliers, including aggregators, w</w:t>
      </w:r>
      <w:r w:rsidR="00B1156E">
        <w:t>ho</w:t>
      </w:r>
      <w:r w:rsidR="00FF570F">
        <w:t xml:space="preserve"> can capture and deliver the value to consumers. </w:t>
      </w:r>
      <w:r w:rsidR="0072192C">
        <w:t xml:space="preserve">We support the completed AEMC </w:t>
      </w:r>
      <w:r w:rsidR="005F046F">
        <w:t xml:space="preserve">wholesale demand response </w:t>
      </w:r>
      <w:r w:rsidR="0072192C">
        <w:t>rule change</w:t>
      </w:r>
      <w:r w:rsidR="005F046F">
        <w:t xml:space="preserve">, which </w:t>
      </w:r>
      <w:r w:rsidR="0072192C">
        <w:t>allow</w:t>
      </w:r>
      <w:r w:rsidR="005F046F">
        <w:t xml:space="preserve">s </w:t>
      </w:r>
      <w:r w:rsidR="0072192C">
        <w:t>third party aggregators</w:t>
      </w:r>
      <w:r w:rsidR="005F046F">
        <w:t xml:space="preserve"> and market participants</w:t>
      </w:r>
      <w:r w:rsidR="0072192C">
        <w:t xml:space="preserve"> to provide demand response services as part of the market design. </w:t>
      </w:r>
    </w:p>
    <w:p w14:paraId="178D101B" w14:textId="60F628EA" w:rsidR="00FF570F" w:rsidRDefault="0072192C" w:rsidP="005F26BB">
      <w:pPr>
        <w:pStyle w:val="BodyText"/>
      </w:pPr>
      <w:r>
        <w:t xml:space="preserve">Given the AEMC’s completed rule change, we do not think the paper has clearly articulated a case for further policy action. </w:t>
      </w:r>
      <w:r w:rsidR="005F046F">
        <w:t>The role of the ESB</w:t>
      </w:r>
      <w:r>
        <w:t xml:space="preserve"> </w:t>
      </w:r>
      <w:r w:rsidR="005F26BB">
        <w:t xml:space="preserve">should be to identify barriers to </w:t>
      </w:r>
      <w:r>
        <w:t>further demand side response</w:t>
      </w:r>
      <w:r w:rsidR="005F046F">
        <w:t xml:space="preserve"> and options to address these – </w:t>
      </w:r>
      <w:r>
        <w:t xml:space="preserve">and we do not think the paper has clearly </w:t>
      </w:r>
      <w:r w:rsidR="005F046F">
        <w:t>done this</w:t>
      </w:r>
      <w:r>
        <w:t xml:space="preserve">. </w:t>
      </w:r>
    </w:p>
    <w:p w14:paraId="5DA98F02" w14:textId="516BAEF9" w:rsidR="005F046F" w:rsidRDefault="00B1156E" w:rsidP="005F26BB">
      <w:pPr>
        <w:pStyle w:val="BodyText"/>
      </w:pPr>
      <w:r>
        <w:t xml:space="preserve">The </w:t>
      </w:r>
      <w:r w:rsidR="0072192C">
        <w:t>benefits of demand side response at both the</w:t>
      </w:r>
      <w:r>
        <w:t xml:space="preserve"> wholesale and network </w:t>
      </w:r>
      <w:r w:rsidR="0072192C">
        <w:t xml:space="preserve">levels are well understood. </w:t>
      </w:r>
      <w:r w:rsidR="008C3BB6">
        <w:t>But the major remaining policy barrier – a lack of cost-reflective (time-varying) price signals for small retail consumers</w:t>
      </w:r>
      <w:r w:rsidR="005F046F">
        <w:t xml:space="preserve"> –</w:t>
      </w:r>
      <w:r w:rsidR="008C3BB6">
        <w:t xml:space="preserve"> cannot be feasibly be addressed through this review. </w:t>
      </w:r>
      <w:r w:rsidR="005F046F">
        <w:t>O</w:t>
      </w:r>
      <w:r w:rsidR="008C3BB6">
        <w:t>ther major barrier</w:t>
      </w:r>
      <w:r w:rsidR="005F046F">
        <w:t>s</w:t>
      </w:r>
      <w:r w:rsidR="008C3BB6">
        <w:t xml:space="preserve"> </w:t>
      </w:r>
      <w:r w:rsidR="005F046F">
        <w:t>are</w:t>
      </w:r>
      <w:r w:rsidR="008C3BB6">
        <w:t xml:space="preserve"> complexity, cost and consumer apathy – and these barriers cannot be addressed through policy.</w:t>
      </w:r>
    </w:p>
    <w:p w14:paraId="2175D179" w14:textId="6671B383" w:rsidR="005F26BB" w:rsidRPr="005F26BB" w:rsidRDefault="008C3BB6" w:rsidP="005F26BB">
      <w:pPr>
        <w:pStyle w:val="BodyText"/>
      </w:pPr>
      <w:r>
        <w:t xml:space="preserve">Given these points, and the recency of the AEMC’s wholesale demand response rule, we think the review’s discussion of ‘two-sided’ markets fails to articulate a case for further policy action at this time. It may be that there is value in, for example, clarifying registration categories – but this can occur through routine rule change processes and does not need to be addressed through the ESB’s review.  </w:t>
      </w:r>
    </w:p>
    <w:p w14:paraId="179ECF37" w14:textId="695EF689" w:rsidR="002118DD" w:rsidRDefault="002118DD" w:rsidP="002118DD">
      <w:pPr>
        <w:pStyle w:val="Heading2"/>
      </w:pPr>
      <w:r>
        <w:t xml:space="preserve">Valuing demand flexibility and integrating </w:t>
      </w:r>
      <w:r w:rsidR="005F26BB">
        <w:t>D</w:t>
      </w:r>
      <w:r>
        <w:t>ER</w:t>
      </w:r>
    </w:p>
    <w:p w14:paraId="7B24D5C9" w14:textId="1F65FF96" w:rsidR="00FF570F" w:rsidRPr="00FF570F" w:rsidRDefault="00BB1591" w:rsidP="00FF570F">
      <w:pPr>
        <w:pStyle w:val="BodyText"/>
      </w:pPr>
      <w:r>
        <w:t>The integration of distributed energy resources covers a multitude of technical, financial, and social issues. Many of the issues and proposals could proceed independently, while there are also areas of coordination to be addressed. The Consultation Paper seems to include a comprehensive approach. We have not studied this MDI in detail and have no additional responses or suggestions.</w:t>
      </w:r>
    </w:p>
    <w:p w14:paraId="2BD39130" w14:textId="6D70F5D1" w:rsidR="002118DD" w:rsidRPr="002118DD" w:rsidRDefault="002118DD" w:rsidP="002118DD">
      <w:pPr>
        <w:pStyle w:val="Heading2"/>
      </w:pPr>
      <w:r>
        <w:lastRenderedPageBreak/>
        <w:t>Transmission access and the coordination of generation and transmission</w:t>
      </w:r>
    </w:p>
    <w:p w14:paraId="3F1C32BE" w14:textId="743943CC" w:rsidR="00260A0A" w:rsidRDefault="006431C2" w:rsidP="002118DD">
      <w:pPr>
        <w:pStyle w:val="BodyText"/>
      </w:pPr>
      <w:r>
        <w:t>We fully endorse</w:t>
      </w:r>
      <w:r>
        <w:rPr>
          <w:rStyle w:val="FootnoteReference"/>
        </w:rPr>
        <w:footnoteReference w:id="5"/>
      </w:r>
      <w:r>
        <w:t xml:space="preserve"> the Consultation Paper’s position that the transmission grid and access frameworks are not built for the future mix of generation and storage. </w:t>
      </w:r>
      <w:r w:rsidR="008C3BB6">
        <w:t>But we do not think the proposals for location marginal pricing and financial transmission rights address the real issues in transmission. Further, their introduction seems to introduce an unjustified level of complexity.</w:t>
      </w:r>
      <w:r w:rsidR="008C3BB6" w:rsidRPr="008C3BB6">
        <w:t xml:space="preserve"> </w:t>
      </w:r>
      <w:r w:rsidR="008C3BB6">
        <w:t xml:space="preserve">In our view, investors in generation assets already have strong signals – primarily through marginal loss factors and the risk of curtailment – to efficiently locate their projects, and the very complicated proposals put forward appear to create more uncertainty rather than less. </w:t>
      </w:r>
    </w:p>
    <w:p w14:paraId="5D4C8684" w14:textId="1DD6ACD8" w:rsidR="008C3BB6" w:rsidRDefault="008C3BB6" w:rsidP="002118DD">
      <w:pPr>
        <w:pStyle w:val="BodyText"/>
      </w:pPr>
      <w:r>
        <w:t>In our view, the key problem</w:t>
      </w:r>
      <w:r w:rsidR="00253F1A">
        <w:t>s</w:t>
      </w:r>
      <w:r>
        <w:t xml:space="preserve"> in transmission is not grid access</w:t>
      </w:r>
      <w:r w:rsidR="00253F1A">
        <w:t xml:space="preserve"> (i.e. curtailment). We identify three more pressing problems. Firstly, the connection process – primarily that the ‘do no harm’ requirements around system strength create extreme uncertainty on the timing and cost of new connections. Secondly, the regulatory process for approving new transmission links is simply too slow. And thirdly, cost allocation is becoming increasingly difficult in an increasingly integrated NEM. </w:t>
      </w:r>
    </w:p>
    <w:p w14:paraId="1CE6E307" w14:textId="2BF29CE8" w:rsidR="00253F1A" w:rsidRDefault="00253F1A" w:rsidP="00253F1A">
      <w:pPr>
        <w:pStyle w:val="BodyText"/>
      </w:pPr>
      <w:r>
        <w:t xml:space="preserve">The first issue must be addressed through the processes relating to essential system services. </w:t>
      </w:r>
      <w:r w:rsidR="005F046F">
        <w:t>As</w:t>
      </w:r>
      <w:r>
        <w:t xml:space="preserve"> discussed above</w:t>
      </w:r>
      <w:r w:rsidR="005F046F">
        <w:t xml:space="preserve">, this is rightly the subject of the AEMC’s system strength frameworks review </w:t>
      </w:r>
      <w:r w:rsidR="005F046F">
        <w:t xml:space="preserve">and relevant rule change </w:t>
      </w:r>
      <w:r w:rsidR="00921CA6">
        <w:t>requests and</w:t>
      </w:r>
      <w:r>
        <w:t xml:space="preserve"> is not discussed further here. </w:t>
      </w:r>
    </w:p>
    <w:p w14:paraId="5231C0C8" w14:textId="6030D4E5" w:rsidR="00260A0A" w:rsidRDefault="00253F1A" w:rsidP="002118DD">
      <w:pPr>
        <w:pStyle w:val="BodyText"/>
      </w:pPr>
      <w:r>
        <w:t>The planning of new transmission links has been greatly improved through the Integrated System Plan. It</w:t>
      </w:r>
      <w:r w:rsidR="006431C2">
        <w:t xml:space="preserve"> provides a set of scenarios for the evolution of the transmission system aligned. It identifies transmission augmentation and new investments that are almost certainly economically efficient and should be accelerated. The work of the ESB and some governments has accelerated their development. However, this progress is a short-term solution</w:t>
      </w:r>
      <w:r w:rsidR="00260A0A">
        <w:t>,</w:t>
      </w:r>
      <w:r w:rsidR="006431C2">
        <w:t xml:space="preserve"> and</w:t>
      </w:r>
      <w:r w:rsidR="00260A0A">
        <w:t>, in frustration,</w:t>
      </w:r>
      <w:r w:rsidR="006431C2">
        <w:t xml:space="preserve"> some state governments are taking unilateral action </w:t>
      </w:r>
      <w:r w:rsidR="00260A0A">
        <w:t>on transmission investment and establishing renewable energy zones.</w:t>
      </w:r>
      <w:r w:rsidR="00524504">
        <w:t xml:space="preserve"> </w:t>
      </w:r>
    </w:p>
    <w:p w14:paraId="2A3BF81B" w14:textId="4C644582" w:rsidR="00524504" w:rsidRDefault="00524504" w:rsidP="002118DD">
      <w:pPr>
        <w:pStyle w:val="BodyText"/>
      </w:pPr>
      <w:r>
        <w:t xml:space="preserve">Integrating the economic assessments of the ISP for early projects with a revamped RIT-T test </w:t>
      </w:r>
      <w:r w:rsidR="008C3BB6">
        <w:t xml:space="preserve">– as proposed by the ESB itself – </w:t>
      </w:r>
      <w:r>
        <w:t xml:space="preserve">should </w:t>
      </w:r>
      <w:r w:rsidR="00253F1A">
        <w:t>speed up the process for approving new transmission</w:t>
      </w:r>
      <w:r>
        <w:t xml:space="preserve">. </w:t>
      </w:r>
      <w:r w:rsidR="00253F1A">
        <w:t xml:space="preserve">Further steps can be achieved by either governments underwriting planning expenditures prior to the completion of the </w:t>
      </w:r>
      <w:proofErr w:type="spellStart"/>
      <w:r w:rsidR="00253F1A">
        <w:t>RiT</w:t>
      </w:r>
      <w:proofErr w:type="spellEnd"/>
      <w:r w:rsidR="00253F1A">
        <w:t xml:space="preserve">-T, or a change to the rules to allow TNSPs to incur these costs for ISP priority projects and recover them from consumers (even if the project ultimately does not pass the </w:t>
      </w:r>
      <w:proofErr w:type="spellStart"/>
      <w:r w:rsidR="00253F1A">
        <w:t>RiT</w:t>
      </w:r>
      <w:proofErr w:type="spellEnd"/>
      <w:r w:rsidR="00253F1A">
        <w:t xml:space="preserve">-T). </w:t>
      </w:r>
      <w:r>
        <w:t xml:space="preserve">While there will some risk of early expenditure that cannot be recovered if a project ultimately fails to proceed or </w:t>
      </w:r>
      <w:r w:rsidR="003E62CB">
        <w:t xml:space="preserve">fails to </w:t>
      </w:r>
      <w:r>
        <w:t>attract generation and storage investment</w:t>
      </w:r>
      <w:r w:rsidR="003E62CB">
        <w:t>,</w:t>
      </w:r>
      <w:r>
        <w:t xml:space="preserve"> that risk is likely to be relatively small against the consequences of delay.</w:t>
      </w:r>
    </w:p>
    <w:p w14:paraId="63D2D54F" w14:textId="3DCB70C8" w:rsidR="00486F56" w:rsidRDefault="00253F1A" w:rsidP="002118DD">
      <w:pPr>
        <w:pStyle w:val="BodyText"/>
      </w:pPr>
      <w:r>
        <w:t>In terms of cost allocation, t</w:t>
      </w:r>
      <w:r w:rsidR="00524504">
        <w:t xml:space="preserve">he increasingly integrated and shared benefit nature of the backbone of the NEM’s transmission grid has </w:t>
      </w:r>
      <w:r w:rsidR="00524504">
        <w:lastRenderedPageBreak/>
        <w:t xml:space="preserve">moved beyond the current cost allocation model with state-based transmission companies. This holds regardless of private or government ownership. We have not undertaken a comprehensive assessment of alternative solutions. However, it may be that a more radical solution, such as </w:t>
      </w:r>
      <w:r w:rsidR="00486F56">
        <w:t xml:space="preserve">ownership of the shared system by a national transmission company should be considered. The </w:t>
      </w:r>
      <w:r w:rsidR="008369F6">
        <w:t xml:space="preserve">case </w:t>
      </w:r>
      <w:r w:rsidR="00486F56">
        <w:t>for public ownership and the separation of the planning and investment decisions from the owner are amongst the issues that would need to be addressed.</w:t>
      </w:r>
    </w:p>
    <w:p w14:paraId="001370E8" w14:textId="40B72D0D" w:rsidR="005F227E" w:rsidRDefault="008C65F9" w:rsidP="008C65F9">
      <w:pPr>
        <w:pStyle w:val="Heading2"/>
      </w:pPr>
      <w:r>
        <w:t>Interdependencies and evaluation</w:t>
      </w:r>
    </w:p>
    <w:p w14:paraId="286DE4F0" w14:textId="01A5006B" w:rsidR="007A1226" w:rsidRDefault="0090360F" w:rsidP="005F227E">
      <w:pPr>
        <w:pStyle w:val="BodyText"/>
      </w:pPr>
      <w:r>
        <w:t xml:space="preserve">There are undoubtedly interdependencies between the MDI’s. It is valuable to have the full suite of initiatives laid out so the impact of </w:t>
      </w:r>
      <w:r>
        <w:t>individual initiatives on the existing NEM and other initiatives can be assessed. However, the risk of an overly complex agenda and work program becoming bogged down and embroiled in endless debate seems greater than the risks that might arise from prioritising incremental reforms. It is also an argument that great uncertainty suggests less reason for fundamental reforms even if the latter were being seriously considered.</w:t>
      </w:r>
      <w:r w:rsidR="005F046F">
        <w:t xml:space="preserve"> </w:t>
      </w:r>
    </w:p>
    <w:p w14:paraId="74AB3233" w14:textId="4B0A2611" w:rsidR="00A06080" w:rsidRPr="000254E3" w:rsidRDefault="0090360F" w:rsidP="00A06080">
      <w:pPr>
        <w:ind w:left="0"/>
        <w:rPr>
          <w:sz w:val="22"/>
          <w:szCs w:val="22"/>
        </w:rPr>
      </w:pPr>
      <w:r w:rsidRPr="00253F1A">
        <w:t>In this context, we support the Consultation Paper’s preference for a progressive approach for delivering initiatives (that) enables the market to respond to each set of measures before building further on these with additional reforms.</w:t>
      </w:r>
      <w:r w:rsidR="00253F1A" w:rsidRPr="00C97FA5">
        <w:t xml:space="preserve"> </w:t>
      </w:r>
    </w:p>
    <w:p w14:paraId="135258BE" w14:textId="712AEBFB" w:rsidR="00B344F1" w:rsidRDefault="00B344F1" w:rsidP="008369F6">
      <w:pPr>
        <w:pStyle w:val="Heading2"/>
        <w:numPr>
          <w:ilvl w:val="0"/>
          <w:numId w:val="0"/>
        </w:numPr>
        <w:sectPr w:rsidR="00B344F1" w:rsidSect="00B344F1">
          <w:endnotePr>
            <w:numFmt w:val="decimal"/>
          </w:endnotePr>
          <w:type w:val="continuous"/>
          <w:pgSz w:w="16838" w:h="11906" w:orient="landscape"/>
          <w:pgMar w:top="2155" w:right="1616" w:bottom="1588" w:left="1616" w:header="851" w:footer="1191" w:gutter="0"/>
          <w:pgNumType w:start="1"/>
          <w:cols w:num="2" w:space="708"/>
          <w:docGrid w:linePitch="360"/>
        </w:sectPr>
      </w:pPr>
    </w:p>
    <w:p w14:paraId="03C9B465" w14:textId="1F517716" w:rsidR="00832AEC" w:rsidRDefault="00832AEC" w:rsidP="00BB65F7">
      <w:pPr>
        <w:pStyle w:val="BodyText"/>
      </w:pPr>
    </w:p>
    <w:p w14:paraId="3C27F800" w14:textId="7B8D7F7C" w:rsidR="002C3B3A" w:rsidRPr="00255E6A" w:rsidRDefault="00F950E7" w:rsidP="00F950E7">
      <w:pPr>
        <w:pStyle w:val="Heading1"/>
        <w:numPr>
          <w:ilvl w:val="0"/>
          <w:numId w:val="0"/>
        </w:numPr>
        <w:rPr>
          <w:b w:val="0"/>
        </w:rPr>
      </w:pPr>
      <w:r w:rsidRPr="00255E6A">
        <w:rPr>
          <w:b w:val="0"/>
        </w:rPr>
        <w:t xml:space="preserve"> </w:t>
      </w:r>
    </w:p>
    <w:sectPr w:rsidR="002C3B3A" w:rsidRPr="00255E6A" w:rsidSect="00020080">
      <w:endnotePr>
        <w:numFmt w:val="decimal"/>
      </w:endnotePr>
      <w:type w:val="continuous"/>
      <w:pgSz w:w="16838" w:h="11906" w:orient="landscape"/>
      <w:pgMar w:top="2155" w:right="1616" w:bottom="1588" w:left="1616" w:header="851" w:footer="119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3D94E" w14:textId="77777777" w:rsidR="001D52FF" w:rsidRDefault="001D52FF" w:rsidP="00A73376">
      <w:pPr>
        <w:ind w:left="0"/>
      </w:pPr>
      <w:r>
        <w:separator/>
      </w:r>
    </w:p>
  </w:endnote>
  <w:endnote w:type="continuationSeparator" w:id="0">
    <w:p w14:paraId="4F7AF2C7" w14:textId="77777777" w:rsidR="001D52FF" w:rsidRPr="00746920" w:rsidRDefault="001D52FF" w:rsidP="00A73376">
      <w:pPr>
        <w:pStyle w:val="Endnot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1E16D" w14:textId="77777777" w:rsidR="003C49AA" w:rsidRDefault="003C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1371F" w14:textId="77777777" w:rsidR="00410658" w:rsidRPr="00361FD4" w:rsidRDefault="00410658" w:rsidP="00D34C57">
    <w:r>
      <w:rPr>
        <w:rStyle w:val="PageNumber"/>
        <w:rFonts w:cs="Arial"/>
        <w:color w:val="6A737B"/>
        <w:sz w:val="22"/>
        <w:szCs w:val="22"/>
      </w:rPr>
      <w:t>Grattan Institute</w:t>
    </w:r>
    <w:r>
      <w:rPr>
        <w:noProof/>
      </w:rPr>
      <mc:AlternateContent>
        <mc:Choice Requires="wps">
          <w:drawing>
            <wp:anchor distT="0" distB="0" distL="114300" distR="114300" simplePos="0" relativeHeight="251656192" behindDoc="0" locked="0" layoutInCell="1" allowOverlap="1" wp14:anchorId="59C8480A" wp14:editId="73809660">
              <wp:simplePos x="0" y="0"/>
              <wp:positionH relativeFrom="column">
                <wp:posOffset>0</wp:posOffset>
              </wp:positionH>
              <wp:positionV relativeFrom="paragraph">
                <wp:posOffset>10160</wp:posOffset>
              </wp:positionV>
              <wp:extent cx="8686800" cy="0"/>
              <wp:effectExtent l="12700" t="10160" r="25400" b="27940"/>
              <wp:wrapTight wrapText="bothSides">
                <wp:wrapPolygon edited="0">
                  <wp:start x="2" y="-2147483648"/>
                  <wp:lineTo x="913" y="-2147483648"/>
                  <wp:lineTo x="913" y="-2147483648"/>
                  <wp:lineTo x="2" y="-2147483648"/>
                  <wp:lineTo x="2" y="-2147483648"/>
                </wp:wrapPolygon>
              </wp:wrapTight>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6800" cy="0"/>
                      </a:xfrm>
                      <a:prstGeom prst="line">
                        <a:avLst/>
                      </a:prstGeom>
                      <a:noFill/>
                      <a:ln w="12700">
                        <a:solidFill>
                          <a:srgbClr val="FF581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9EF621" id="Line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68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" strokecolor="#ff581b" strokeweight="1pt">
              <v:shadow color="black" opacity="22938f" offset="0,.74833mm"/>
              <w10:wrap type="tight"/>
            </v:line>
          </w:pict>
        </mc:Fallback>
      </mc:AlternateContent>
    </w:r>
    <w:r>
      <w:rPr>
        <w:rStyle w:val="PageNumber"/>
        <w:rFonts w:cs="Arial"/>
        <w:color w:val="6A737B"/>
        <w:sz w:val="22"/>
        <w:szCs w:val="22"/>
      </w:rPr>
      <w:t xml:space="preserve"> 2012</w:t>
    </w:r>
    <w:r>
      <w:rPr>
        <w:rStyle w:val="PageNumber"/>
        <w:rFonts w:cs="Arial"/>
        <w:color w:val="6A737B"/>
        <w:sz w:val="22"/>
        <w:szCs w:val="22"/>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5244C" w14:textId="77777777" w:rsidR="003C49AA" w:rsidRDefault="003C49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1EF14" w14:textId="77777777" w:rsidR="00410658" w:rsidRPr="00361FD4" w:rsidRDefault="00410658" w:rsidP="006F7D52">
    <w:pPr>
      <w:pStyle w:val="FooterReport"/>
      <w:tabs>
        <w:tab w:val="clear" w:pos="4153"/>
        <w:tab w:val="clear" w:pos="8306"/>
        <w:tab w:val="right" w:pos="13608"/>
      </w:tabs>
    </w:pPr>
    <w:r w:rsidRPr="00D34C57">
      <w:t>Grattan Institute</w:t>
    </w:r>
    <w:r>
      <w:rPr>
        <w:lang w:val="en-AU" w:eastAsia="en-AU"/>
      </w:rPr>
      <mc:AlternateContent>
        <mc:Choice Requires="wps">
          <w:drawing>
            <wp:anchor distT="0" distB="0" distL="114300" distR="114300" simplePos="0" relativeHeight="251657216" behindDoc="0" locked="0" layoutInCell="1" allowOverlap="1" wp14:anchorId="2715CC8C" wp14:editId="0A54F174">
              <wp:simplePos x="0" y="0"/>
              <wp:positionH relativeFrom="column">
                <wp:posOffset>0</wp:posOffset>
              </wp:positionH>
              <wp:positionV relativeFrom="paragraph">
                <wp:posOffset>10160</wp:posOffset>
              </wp:positionV>
              <wp:extent cx="8686800" cy="0"/>
              <wp:effectExtent l="8890" t="11430" r="29210" b="26670"/>
              <wp:wrapTight wrapText="bothSides">
                <wp:wrapPolygon edited="0">
                  <wp:start x="2" y="-2147483648"/>
                  <wp:lineTo x="913" y="-2147483648"/>
                  <wp:lineTo x="913" y="-2147483648"/>
                  <wp:lineTo x="2" y="-2147483648"/>
                  <wp:lineTo x="2" y="-2147483648"/>
                </wp:wrapPolygon>
              </wp:wrapTight>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6800" cy="0"/>
                      </a:xfrm>
                      <a:prstGeom prst="line">
                        <a:avLst/>
                      </a:prstGeom>
                      <a:noFill/>
                      <a:ln w="12700">
                        <a:solidFill>
                          <a:srgbClr val="F8981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C8E5CC" id="Line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68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" strokecolor="#f8981d" strokeweight="1pt">
              <v:shadow color="black" opacity="22938f" offset="0,.74833mm"/>
              <w10:wrap type="tight"/>
            </v:line>
          </w:pict>
        </mc:Fallback>
      </mc:AlternateContent>
    </w:r>
    <w:r w:rsidRPr="00D34C57">
      <w:t xml:space="preserve"> 201</w:t>
    </w:r>
    <w:r>
      <w:t>4</w:t>
    </w:r>
    <w:r>
      <w:rPr>
        <w:rStyle w:val="PageNumber"/>
        <w:rFonts w:cs="Arial"/>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8706A" w14:textId="69B5DA65" w:rsidR="00410658" w:rsidRPr="00361FD4" w:rsidRDefault="00410658" w:rsidP="006F7D52">
    <w:pPr>
      <w:pStyle w:val="FooterReport"/>
      <w:tabs>
        <w:tab w:val="clear" w:pos="4153"/>
        <w:tab w:val="clear" w:pos="8306"/>
        <w:tab w:val="right" w:pos="13608"/>
      </w:tabs>
    </w:pPr>
    <w:r w:rsidRPr="00D34C57">
      <w:t>Grattan Institute</w:t>
    </w:r>
    <w:r>
      <w:rPr>
        <w:lang w:val="en-AU" w:eastAsia="en-AU"/>
      </w:rPr>
      <mc:AlternateContent>
        <mc:Choice Requires="wps">
          <w:drawing>
            <wp:anchor distT="0" distB="0" distL="114300" distR="114300" simplePos="0" relativeHeight="251659776" behindDoc="0" locked="0" layoutInCell="1" allowOverlap="1" wp14:anchorId="77BF9367" wp14:editId="0B86D354">
              <wp:simplePos x="0" y="0"/>
              <wp:positionH relativeFrom="column">
                <wp:posOffset>0</wp:posOffset>
              </wp:positionH>
              <wp:positionV relativeFrom="paragraph">
                <wp:posOffset>10160</wp:posOffset>
              </wp:positionV>
              <wp:extent cx="8686800" cy="0"/>
              <wp:effectExtent l="9525" t="10160" r="9525" b="8890"/>
              <wp:wrapTight wrapText="bothSides">
                <wp:wrapPolygon edited="0">
                  <wp:start x="2" y="-2147483648"/>
                  <wp:lineTo x="913" y="-2147483648"/>
                  <wp:lineTo x="913" y="-2147483648"/>
                  <wp:lineTo x="2" y="-2147483648"/>
                  <wp:lineTo x="2" y="-2147483648"/>
                </wp:wrapPolygon>
              </wp:wrapTight>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6800" cy="0"/>
                      </a:xfrm>
                      <a:prstGeom prst="line">
                        <a:avLst/>
                      </a:prstGeom>
                      <a:noFill/>
                      <a:ln w="12700">
                        <a:solidFill>
                          <a:srgbClr val="F8981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A87DE9" id="Line 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68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" strokecolor="#f8981d" strokeweight="1pt">
              <v:shadow opacity="22938f" offset="0"/>
              <w10:wrap type="tight"/>
            </v:line>
          </w:pict>
        </mc:Fallback>
      </mc:AlternateContent>
    </w:r>
    <w:r w:rsidRPr="00D34C57">
      <w:t xml:space="preserve"> 20</w:t>
    </w:r>
    <w:r w:rsidR="00783B3F">
      <w:t>20</w:t>
    </w:r>
    <w:r>
      <w:rPr>
        <w:rStyle w:val="PageNumber"/>
        <w:rFonts w:cs="Arial"/>
      </w:rPr>
      <w:tab/>
    </w:r>
    <w:r w:rsidRPr="00361FD4">
      <w:rPr>
        <w:rStyle w:val="PageNumber"/>
        <w:rFonts w:cs="Arial"/>
      </w:rPr>
      <w:fldChar w:fldCharType="begin"/>
    </w:r>
    <w:r w:rsidRPr="00361FD4">
      <w:rPr>
        <w:rStyle w:val="PageNumber"/>
        <w:rFonts w:cs="Arial"/>
      </w:rPr>
      <w:instrText xml:space="preserve"> PAGE </w:instrText>
    </w:r>
    <w:r w:rsidRPr="00361FD4">
      <w:rPr>
        <w:rStyle w:val="PageNumber"/>
        <w:rFonts w:cs="Arial"/>
      </w:rPr>
      <w:fldChar w:fldCharType="separate"/>
    </w:r>
    <w:r w:rsidR="00C506E5">
      <w:rPr>
        <w:rStyle w:val="PageNumber"/>
        <w:rFonts w:cs="Arial"/>
      </w:rPr>
      <w:t>1</w:t>
    </w:r>
    <w:r w:rsidRPr="00361FD4">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9D520F" w14:textId="77777777" w:rsidR="001D52FF" w:rsidRDefault="001D52FF" w:rsidP="00AC30A5">
      <w:pPr>
        <w:spacing w:before="0"/>
        <w:ind w:left="0"/>
      </w:pPr>
      <w:r>
        <w:separator/>
      </w:r>
    </w:p>
  </w:footnote>
  <w:footnote w:type="continuationSeparator" w:id="0">
    <w:p w14:paraId="7187E003" w14:textId="77777777" w:rsidR="001D52FF" w:rsidRDefault="001D52FF">
      <w:r>
        <w:continuationSeparator/>
      </w:r>
    </w:p>
  </w:footnote>
  <w:footnote w:id="1">
    <w:p w14:paraId="3DADDA24" w14:textId="63C380B7" w:rsidR="0069409E" w:rsidRDefault="0069409E">
      <w:pPr>
        <w:pStyle w:val="FootnoteText"/>
      </w:pPr>
      <w:r>
        <w:rPr>
          <w:rStyle w:val="FootnoteReference"/>
        </w:rPr>
        <w:footnoteRef/>
      </w:r>
      <w:r>
        <w:t xml:space="preserve"> </w:t>
      </w:r>
      <w:r w:rsidRPr="0069409E">
        <w:t>https://grattan.edu.au/wp-content/uploads/2018/02/896-Reliability-Obligation-1.pdf</w:t>
      </w:r>
    </w:p>
  </w:footnote>
  <w:footnote w:id="2">
    <w:p w14:paraId="5F17F425" w14:textId="440E9772" w:rsidR="00C97FA5" w:rsidRDefault="00C97FA5">
      <w:pPr>
        <w:pStyle w:val="FootnoteText"/>
      </w:pPr>
      <w:r>
        <w:rPr>
          <w:rStyle w:val="FootnoteReference"/>
        </w:rPr>
        <w:footnoteRef/>
      </w:r>
      <w:r>
        <w:t xml:space="preserve"> </w:t>
      </w:r>
      <w:r w:rsidRPr="00C97FA5">
        <w:t>https://grattan.edu.au/report/keep-calm-and-carry-on/</w:t>
      </w:r>
    </w:p>
  </w:footnote>
  <w:footnote w:id="3">
    <w:p w14:paraId="68FA1AD4" w14:textId="2E7707D6" w:rsidR="00C97FA5" w:rsidRDefault="00C97FA5">
      <w:pPr>
        <w:pStyle w:val="FootnoteText"/>
      </w:pPr>
      <w:r>
        <w:rPr>
          <w:rStyle w:val="FootnoteReference"/>
        </w:rPr>
        <w:footnoteRef/>
      </w:r>
      <w:r>
        <w:t xml:space="preserve"> </w:t>
      </w:r>
      <w:r w:rsidRPr="00C97FA5">
        <w:t>https://grattan.edu.au/report/power-play/</w:t>
      </w:r>
    </w:p>
  </w:footnote>
  <w:footnote w:id="4">
    <w:p w14:paraId="1D2B0F2B" w14:textId="32E1CB6A" w:rsidR="0064274A" w:rsidRDefault="0064274A">
      <w:pPr>
        <w:pStyle w:val="FootnoteText"/>
      </w:pPr>
      <w:r>
        <w:rPr>
          <w:rStyle w:val="FootnoteReference"/>
        </w:rPr>
        <w:footnoteRef/>
      </w:r>
      <w:r>
        <w:t xml:space="preserve"> </w:t>
      </w:r>
      <w:r w:rsidRPr="0064274A">
        <w:t>https://grattan.edu.au/wp-content/uploads/2019/10/922-Power-play.pdf</w:t>
      </w:r>
    </w:p>
  </w:footnote>
  <w:footnote w:id="5">
    <w:p w14:paraId="63659370" w14:textId="1758F04A" w:rsidR="006431C2" w:rsidRDefault="006431C2">
      <w:pPr>
        <w:pStyle w:val="FootnoteText"/>
      </w:pPr>
      <w:r>
        <w:rPr>
          <w:rStyle w:val="FootnoteReference"/>
        </w:rPr>
        <w:footnoteRef/>
      </w:r>
      <w:r>
        <w:t xml:space="preserve"> </w:t>
      </w:r>
      <w:r w:rsidRPr="006431C2">
        <w:t>https://tagg.com.au/explainer-what-is-the-electricity-transmission-system-and-why-does-it-need-fixing/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B78D0" w14:textId="77777777" w:rsidR="003C49AA" w:rsidRDefault="003C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93F7F" w14:textId="7AC7D6BB" w:rsidR="00410658" w:rsidRPr="006F7D52" w:rsidRDefault="00410658" w:rsidP="006F7D52">
    <w:pPr>
      <w:pStyle w:val="Header"/>
    </w:pPr>
    <w:r>
      <w:rPr>
        <w:lang w:val="en-AU" w:eastAsia="en-AU"/>
      </w:rPr>
      <mc:AlternateContent>
        <mc:Choice Requires="wps">
          <w:drawing>
            <wp:anchor distT="0" distB="0" distL="114300" distR="114300" simplePos="0" relativeHeight="251658752" behindDoc="0" locked="0" layoutInCell="1" allowOverlap="1" wp14:anchorId="0FC8014D" wp14:editId="06E6A804">
              <wp:simplePos x="0" y="0"/>
              <wp:positionH relativeFrom="column">
                <wp:posOffset>0</wp:posOffset>
              </wp:positionH>
              <wp:positionV relativeFrom="paragraph">
                <wp:posOffset>341630</wp:posOffset>
              </wp:positionV>
              <wp:extent cx="8686800" cy="0"/>
              <wp:effectExtent l="8890" t="18415" r="29210" b="19685"/>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6800" cy="0"/>
                      </a:xfrm>
                      <a:prstGeom prst="line">
                        <a:avLst/>
                      </a:prstGeom>
                      <a:noFill/>
                      <a:ln w="12700">
                        <a:solidFill>
                          <a:srgbClr val="F8981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BF8979"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9pt" to="684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" strokecolor="#f8981d" strokeweight="1pt">
              <v:shadow color="black" opacity="22938f" offset="0,.74833mm"/>
            </v:line>
          </w:pict>
        </mc:Fallback>
      </mc:AlternateContent>
    </w:r>
    <w:r w:rsidR="007F1E82">
      <w:t>NEM P2025 – Consultation Paper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7A411" w14:textId="77777777" w:rsidR="003C49AA" w:rsidRDefault="003C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724E7"/>
    <w:multiLevelType w:val="multilevel"/>
    <w:tmpl w:val="10366012"/>
    <w:styleLink w:val="Bullet1"/>
    <w:lvl w:ilvl="0">
      <w:start w:val="1"/>
      <w:numFmt w:val="bullet"/>
      <w:lvlText w:val=""/>
      <w:lvlJc w:val="left"/>
      <w:pPr>
        <w:tabs>
          <w:tab w:val="num" w:pos="284"/>
        </w:tabs>
        <w:ind w:left="284" w:hanging="284"/>
      </w:pPr>
      <w:rPr>
        <w:rFonts w:ascii="Symbol" w:hAnsi="Symbol" w:hint="default"/>
        <w:color w:val="F3901D"/>
        <w:sz w:val="24"/>
      </w:rPr>
    </w:lvl>
    <w:lvl w:ilvl="1">
      <w:start w:val="1"/>
      <w:numFmt w:val="bullet"/>
      <w:lvlText w:val="-"/>
      <w:lvlJc w:val="left"/>
      <w:pPr>
        <w:tabs>
          <w:tab w:val="num" w:pos="284"/>
        </w:tabs>
        <w:ind w:left="567" w:hanging="283"/>
      </w:pPr>
      <w:rPr>
        <w:rFonts w:ascii="Arial" w:hAnsi="Arial" w:hint="default"/>
        <w:color w:val="F3901D"/>
      </w:rPr>
    </w:lvl>
    <w:lvl w:ilvl="2">
      <w:start w:val="1"/>
      <w:numFmt w:val="bullet"/>
      <w:lvlText w:val=""/>
      <w:lvlJc w:val="left"/>
      <w:pPr>
        <w:tabs>
          <w:tab w:val="num" w:pos="5171"/>
        </w:tabs>
        <w:ind w:left="5171" w:hanging="360"/>
      </w:pPr>
      <w:rPr>
        <w:rFonts w:ascii="Wingdings" w:hAnsi="Wingdings" w:hint="default"/>
      </w:rPr>
    </w:lvl>
    <w:lvl w:ilvl="3">
      <w:start w:val="1"/>
      <w:numFmt w:val="bullet"/>
      <w:lvlText w:val=""/>
      <w:lvlJc w:val="left"/>
      <w:pPr>
        <w:tabs>
          <w:tab w:val="num" w:pos="5891"/>
        </w:tabs>
        <w:ind w:left="5891" w:hanging="360"/>
      </w:pPr>
      <w:rPr>
        <w:rFonts w:ascii="Symbol" w:hAnsi="Symbol" w:hint="default"/>
      </w:rPr>
    </w:lvl>
    <w:lvl w:ilvl="4">
      <w:start w:val="1"/>
      <w:numFmt w:val="bullet"/>
      <w:lvlText w:val="o"/>
      <w:lvlJc w:val="left"/>
      <w:pPr>
        <w:tabs>
          <w:tab w:val="num" w:pos="6611"/>
        </w:tabs>
        <w:ind w:left="6611" w:hanging="360"/>
      </w:pPr>
      <w:rPr>
        <w:rFonts w:ascii="Courier New" w:hAnsi="Courier New" w:cs="Courier New" w:hint="default"/>
      </w:rPr>
    </w:lvl>
    <w:lvl w:ilvl="5">
      <w:start w:val="1"/>
      <w:numFmt w:val="bullet"/>
      <w:lvlText w:val=""/>
      <w:lvlJc w:val="left"/>
      <w:pPr>
        <w:tabs>
          <w:tab w:val="num" w:pos="7331"/>
        </w:tabs>
        <w:ind w:left="7331" w:hanging="360"/>
      </w:pPr>
      <w:rPr>
        <w:rFonts w:ascii="Wingdings" w:hAnsi="Wingdings" w:hint="default"/>
      </w:rPr>
    </w:lvl>
    <w:lvl w:ilvl="6">
      <w:start w:val="1"/>
      <w:numFmt w:val="bullet"/>
      <w:lvlText w:val=""/>
      <w:lvlJc w:val="left"/>
      <w:pPr>
        <w:tabs>
          <w:tab w:val="num" w:pos="8051"/>
        </w:tabs>
        <w:ind w:left="8051" w:hanging="360"/>
      </w:pPr>
      <w:rPr>
        <w:rFonts w:ascii="Symbol" w:hAnsi="Symbol" w:hint="default"/>
      </w:rPr>
    </w:lvl>
    <w:lvl w:ilvl="7">
      <w:start w:val="1"/>
      <w:numFmt w:val="bullet"/>
      <w:lvlText w:val="o"/>
      <w:lvlJc w:val="left"/>
      <w:pPr>
        <w:tabs>
          <w:tab w:val="num" w:pos="8771"/>
        </w:tabs>
        <w:ind w:left="8771" w:hanging="360"/>
      </w:pPr>
      <w:rPr>
        <w:rFonts w:ascii="Courier New" w:hAnsi="Courier New" w:cs="Courier New" w:hint="default"/>
      </w:rPr>
    </w:lvl>
    <w:lvl w:ilvl="8">
      <w:start w:val="1"/>
      <w:numFmt w:val="bullet"/>
      <w:lvlText w:val=""/>
      <w:lvlJc w:val="left"/>
      <w:pPr>
        <w:tabs>
          <w:tab w:val="num" w:pos="9491"/>
        </w:tabs>
        <w:ind w:left="9491" w:hanging="360"/>
      </w:pPr>
      <w:rPr>
        <w:rFonts w:ascii="Wingdings" w:hAnsi="Wingdings" w:hint="default"/>
      </w:rPr>
    </w:lvl>
  </w:abstractNum>
  <w:abstractNum w:abstractNumId="1" w15:restartNumberingAfterBreak="0">
    <w:nsid w:val="0A5759B8"/>
    <w:multiLevelType w:val="multilevel"/>
    <w:tmpl w:val="A7723C84"/>
    <w:lvl w:ilvl="0">
      <w:start w:val="1"/>
      <w:numFmt w:val="decimal"/>
      <w:pStyle w:val="Heading1"/>
      <w:lvlText w:val="%1"/>
      <w:lvlJc w:val="left"/>
      <w:pPr>
        <w:ind w:left="432" w:hanging="432"/>
      </w:pPr>
    </w:lvl>
    <w:lvl w:ilvl="1">
      <w:start w:val="1"/>
      <w:numFmt w:val="decimal"/>
      <w:pStyle w:val="Heading2"/>
      <w:lvlText w:val="%1.%2"/>
      <w:lvlJc w:val="left"/>
      <w:pPr>
        <w:ind w:left="1568"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C681B12"/>
    <w:multiLevelType w:val="multilevel"/>
    <w:tmpl w:val="F2E0FF6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8603DA"/>
    <w:multiLevelType w:val="hybridMultilevel"/>
    <w:tmpl w:val="C6BA59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195086"/>
    <w:multiLevelType w:val="singleLevel"/>
    <w:tmpl w:val="4D589CF8"/>
    <w:lvl w:ilvl="0">
      <w:start w:val="1"/>
      <w:numFmt w:val="bullet"/>
      <w:pStyle w:val="ReportBullet1"/>
      <w:lvlText w:val=""/>
      <w:lvlJc w:val="left"/>
      <w:pPr>
        <w:ind w:left="360" w:hanging="360"/>
      </w:pPr>
      <w:rPr>
        <w:rFonts w:ascii="Symbol" w:hAnsi="Symbol" w:hint="default"/>
        <w:color w:val="F3901D"/>
        <w:sz w:val="24"/>
      </w:rPr>
    </w:lvl>
  </w:abstractNum>
  <w:abstractNum w:abstractNumId="5" w15:restartNumberingAfterBreak="0">
    <w:nsid w:val="1AF134A3"/>
    <w:multiLevelType w:val="hybridMultilevel"/>
    <w:tmpl w:val="3BE2C042"/>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6" w15:restartNumberingAfterBreak="0">
    <w:nsid w:val="1B4427EA"/>
    <w:multiLevelType w:val="multilevel"/>
    <w:tmpl w:val="684C9F1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0481303"/>
    <w:multiLevelType w:val="hybridMultilevel"/>
    <w:tmpl w:val="14B27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6C357A"/>
    <w:multiLevelType w:val="hybridMultilevel"/>
    <w:tmpl w:val="63067CD0"/>
    <w:lvl w:ilvl="0" w:tplc="C8248310">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552B16"/>
    <w:multiLevelType w:val="hybridMultilevel"/>
    <w:tmpl w:val="520A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39068C"/>
    <w:multiLevelType w:val="hybridMultilevel"/>
    <w:tmpl w:val="CE30B99C"/>
    <w:lvl w:ilvl="0" w:tplc="B49C7238">
      <w:start w:val="1"/>
      <w:numFmt w:val="bullet"/>
      <w:lvlText w:val=""/>
      <w:lvlJc w:val="left"/>
      <w:pPr>
        <w:tabs>
          <w:tab w:val="num" w:pos="1571"/>
        </w:tabs>
        <w:ind w:left="1571" w:hanging="360"/>
      </w:pPr>
      <w:rPr>
        <w:rFonts w:ascii="Symbol" w:hAnsi="Symbol" w:hint="default"/>
      </w:rPr>
    </w:lvl>
    <w:lvl w:ilvl="1" w:tplc="6B786176">
      <w:start w:val="1"/>
      <w:numFmt w:val="bullet"/>
      <w:lvlText w:val="o"/>
      <w:lvlJc w:val="left"/>
      <w:pPr>
        <w:tabs>
          <w:tab w:val="num" w:pos="2291"/>
        </w:tabs>
        <w:ind w:left="2291" w:hanging="360"/>
      </w:pPr>
      <w:rPr>
        <w:rFonts w:ascii="Courier New" w:hAnsi="Courier New" w:hint="default"/>
      </w:rPr>
    </w:lvl>
    <w:lvl w:ilvl="2" w:tplc="7F9C2676">
      <w:start w:val="1"/>
      <w:numFmt w:val="bullet"/>
      <w:lvlText w:val=""/>
      <w:lvlJc w:val="left"/>
      <w:pPr>
        <w:tabs>
          <w:tab w:val="num" w:pos="3011"/>
        </w:tabs>
        <w:ind w:left="3011" w:hanging="360"/>
      </w:pPr>
      <w:rPr>
        <w:rFonts w:ascii="Wingdings" w:hAnsi="Wingdings" w:hint="default"/>
      </w:rPr>
    </w:lvl>
    <w:lvl w:ilvl="3" w:tplc="C7243B80">
      <w:start w:val="1"/>
      <w:numFmt w:val="bullet"/>
      <w:lvlText w:val=""/>
      <w:lvlJc w:val="left"/>
      <w:pPr>
        <w:tabs>
          <w:tab w:val="num" w:pos="3731"/>
        </w:tabs>
        <w:ind w:left="3731" w:hanging="360"/>
      </w:pPr>
      <w:rPr>
        <w:rFonts w:ascii="Symbol" w:hAnsi="Symbol" w:hint="default"/>
      </w:rPr>
    </w:lvl>
    <w:lvl w:ilvl="4" w:tplc="10DE68A6">
      <w:start w:val="1"/>
      <w:numFmt w:val="bullet"/>
      <w:lvlText w:val="o"/>
      <w:lvlJc w:val="left"/>
      <w:pPr>
        <w:tabs>
          <w:tab w:val="num" w:pos="4451"/>
        </w:tabs>
        <w:ind w:left="4451" w:hanging="360"/>
      </w:pPr>
      <w:rPr>
        <w:rFonts w:ascii="Courier New" w:hAnsi="Courier New" w:hint="default"/>
      </w:rPr>
    </w:lvl>
    <w:lvl w:ilvl="5" w:tplc="2FB820F4">
      <w:start w:val="1"/>
      <w:numFmt w:val="bullet"/>
      <w:lvlText w:val=""/>
      <w:lvlJc w:val="left"/>
      <w:pPr>
        <w:tabs>
          <w:tab w:val="num" w:pos="5171"/>
        </w:tabs>
        <w:ind w:left="5171" w:hanging="360"/>
      </w:pPr>
      <w:rPr>
        <w:rFonts w:ascii="Wingdings" w:hAnsi="Wingdings" w:hint="default"/>
      </w:rPr>
    </w:lvl>
    <w:lvl w:ilvl="6" w:tplc="B5760F7A">
      <w:start w:val="1"/>
      <w:numFmt w:val="bullet"/>
      <w:lvlText w:val=""/>
      <w:lvlJc w:val="left"/>
      <w:pPr>
        <w:tabs>
          <w:tab w:val="num" w:pos="5891"/>
        </w:tabs>
        <w:ind w:left="5891" w:hanging="360"/>
      </w:pPr>
      <w:rPr>
        <w:rFonts w:ascii="Symbol" w:hAnsi="Symbol" w:hint="default"/>
      </w:rPr>
    </w:lvl>
    <w:lvl w:ilvl="7" w:tplc="3D08AC7C">
      <w:start w:val="1"/>
      <w:numFmt w:val="bullet"/>
      <w:lvlText w:val="o"/>
      <w:lvlJc w:val="left"/>
      <w:pPr>
        <w:tabs>
          <w:tab w:val="num" w:pos="6611"/>
        </w:tabs>
        <w:ind w:left="6611" w:hanging="360"/>
      </w:pPr>
      <w:rPr>
        <w:rFonts w:ascii="Courier New" w:hAnsi="Courier New" w:hint="default"/>
      </w:rPr>
    </w:lvl>
    <w:lvl w:ilvl="8" w:tplc="B71C5234">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27AB0181"/>
    <w:multiLevelType w:val="hybridMultilevel"/>
    <w:tmpl w:val="7EE6A4E6"/>
    <w:lvl w:ilvl="0" w:tplc="0C090001">
      <w:start w:val="1"/>
      <w:numFmt w:val="bullet"/>
      <w:lvlText w:val=""/>
      <w:lvlJc w:val="left"/>
      <w:pPr>
        <w:tabs>
          <w:tab w:val="num" w:pos="1571"/>
        </w:tabs>
        <w:ind w:left="1571" w:hanging="360"/>
      </w:pPr>
      <w:rPr>
        <w:rFonts w:ascii="Symbol" w:hAnsi="Symbol" w:hint="default"/>
      </w:rPr>
    </w:lvl>
    <w:lvl w:ilvl="1" w:tplc="0C090003">
      <w:start w:val="1"/>
      <w:numFmt w:val="bullet"/>
      <w:lvlText w:val="o"/>
      <w:lvlJc w:val="left"/>
      <w:pPr>
        <w:tabs>
          <w:tab w:val="num" w:pos="2291"/>
        </w:tabs>
        <w:ind w:left="2291" w:hanging="360"/>
      </w:pPr>
      <w:rPr>
        <w:rFonts w:ascii="Courier New" w:hAnsi="Courier New" w:hint="default"/>
      </w:rPr>
    </w:lvl>
    <w:lvl w:ilvl="2" w:tplc="0C090005">
      <w:start w:val="1"/>
      <w:numFmt w:val="bullet"/>
      <w:lvlText w:val=""/>
      <w:lvlJc w:val="left"/>
      <w:pPr>
        <w:tabs>
          <w:tab w:val="num" w:pos="3011"/>
        </w:tabs>
        <w:ind w:left="3011" w:hanging="360"/>
      </w:pPr>
      <w:rPr>
        <w:rFonts w:ascii="Wingdings" w:hAnsi="Wingdings" w:hint="default"/>
      </w:rPr>
    </w:lvl>
    <w:lvl w:ilvl="3" w:tplc="0C090001">
      <w:start w:val="1"/>
      <w:numFmt w:val="bullet"/>
      <w:lvlText w:val=""/>
      <w:lvlJc w:val="left"/>
      <w:pPr>
        <w:tabs>
          <w:tab w:val="num" w:pos="3731"/>
        </w:tabs>
        <w:ind w:left="3731" w:hanging="360"/>
      </w:pPr>
      <w:rPr>
        <w:rFonts w:ascii="Symbol" w:hAnsi="Symbol" w:hint="default"/>
      </w:rPr>
    </w:lvl>
    <w:lvl w:ilvl="4" w:tplc="0C090003">
      <w:start w:val="1"/>
      <w:numFmt w:val="bullet"/>
      <w:lvlText w:val="o"/>
      <w:lvlJc w:val="left"/>
      <w:pPr>
        <w:tabs>
          <w:tab w:val="num" w:pos="4451"/>
        </w:tabs>
        <w:ind w:left="4451" w:hanging="360"/>
      </w:pPr>
      <w:rPr>
        <w:rFonts w:ascii="Courier New" w:hAnsi="Courier New" w:hint="default"/>
      </w:rPr>
    </w:lvl>
    <w:lvl w:ilvl="5" w:tplc="0C090005">
      <w:start w:val="1"/>
      <w:numFmt w:val="bullet"/>
      <w:lvlText w:val=""/>
      <w:lvlJc w:val="left"/>
      <w:pPr>
        <w:tabs>
          <w:tab w:val="num" w:pos="5171"/>
        </w:tabs>
        <w:ind w:left="5171" w:hanging="360"/>
      </w:pPr>
      <w:rPr>
        <w:rFonts w:ascii="Wingdings" w:hAnsi="Wingdings" w:hint="default"/>
      </w:rPr>
    </w:lvl>
    <w:lvl w:ilvl="6" w:tplc="0C090001">
      <w:start w:val="1"/>
      <w:numFmt w:val="bullet"/>
      <w:lvlText w:val=""/>
      <w:lvlJc w:val="left"/>
      <w:pPr>
        <w:tabs>
          <w:tab w:val="num" w:pos="5891"/>
        </w:tabs>
        <w:ind w:left="5891" w:hanging="360"/>
      </w:pPr>
      <w:rPr>
        <w:rFonts w:ascii="Symbol" w:hAnsi="Symbol" w:hint="default"/>
      </w:rPr>
    </w:lvl>
    <w:lvl w:ilvl="7" w:tplc="0C090003">
      <w:start w:val="1"/>
      <w:numFmt w:val="bullet"/>
      <w:lvlText w:val="o"/>
      <w:lvlJc w:val="left"/>
      <w:pPr>
        <w:tabs>
          <w:tab w:val="num" w:pos="6611"/>
        </w:tabs>
        <w:ind w:left="6611" w:hanging="360"/>
      </w:pPr>
      <w:rPr>
        <w:rFonts w:ascii="Courier New" w:hAnsi="Courier New" w:hint="default"/>
      </w:rPr>
    </w:lvl>
    <w:lvl w:ilvl="8" w:tplc="0C090005">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28F50C0B"/>
    <w:multiLevelType w:val="hybridMultilevel"/>
    <w:tmpl w:val="4D285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8F27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BF4A45"/>
    <w:multiLevelType w:val="hybridMultilevel"/>
    <w:tmpl w:val="E17CD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2D0C47"/>
    <w:multiLevelType w:val="hybridMultilevel"/>
    <w:tmpl w:val="54BE84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3FA2896"/>
    <w:multiLevelType w:val="hybridMultilevel"/>
    <w:tmpl w:val="71AEB2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A674FD7"/>
    <w:multiLevelType w:val="hybridMultilevel"/>
    <w:tmpl w:val="467678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A9E6D01"/>
    <w:multiLevelType w:val="hybridMultilevel"/>
    <w:tmpl w:val="A2169E82"/>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9" w15:restartNumberingAfterBreak="0">
    <w:nsid w:val="41023544"/>
    <w:multiLevelType w:val="hybridMultilevel"/>
    <w:tmpl w:val="70222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1AC1A72"/>
    <w:multiLevelType w:val="hybridMultilevel"/>
    <w:tmpl w:val="8BE42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33213E8"/>
    <w:multiLevelType w:val="singleLevel"/>
    <w:tmpl w:val="90C8DFF0"/>
    <w:lvl w:ilvl="0">
      <w:start w:val="1"/>
      <w:numFmt w:val="bullet"/>
      <w:pStyle w:val="Bullet2"/>
      <w:lvlText w:val="-"/>
      <w:lvlJc w:val="left"/>
      <w:pPr>
        <w:tabs>
          <w:tab w:val="num" w:pos="284"/>
        </w:tabs>
        <w:ind w:left="567" w:hanging="283"/>
      </w:pPr>
      <w:rPr>
        <w:rFonts w:ascii="Arial" w:hAnsi="Arial" w:hint="default"/>
        <w:color w:val="F3901D"/>
        <w:sz w:val="24"/>
      </w:rPr>
    </w:lvl>
  </w:abstractNum>
  <w:abstractNum w:abstractNumId="22" w15:restartNumberingAfterBreak="0">
    <w:nsid w:val="44BD4C31"/>
    <w:multiLevelType w:val="hybridMultilevel"/>
    <w:tmpl w:val="67047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5BD2E48"/>
    <w:multiLevelType w:val="hybridMultilevel"/>
    <w:tmpl w:val="76F646FE"/>
    <w:lvl w:ilvl="0" w:tplc="0C090001">
      <w:start w:val="1"/>
      <w:numFmt w:val="bullet"/>
      <w:lvlText w:val=""/>
      <w:lvlJc w:val="left"/>
      <w:pPr>
        <w:ind w:left="1760" w:hanging="360"/>
      </w:pPr>
      <w:rPr>
        <w:rFonts w:ascii="Symbol" w:hAnsi="Symbol" w:hint="default"/>
      </w:rPr>
    </w:lvl>
    <w:lvl w:ilvl="1" w:tplc="0C090003" w:tentative="1">
      <w:start w:val="1"/>
      <w:numFmt w:val="bullet"/>
      <w:lvlText w:val="o"/>
      <w:lvlJc w:val="left"/>
      <w:pPr>
        <w:ind w:left="2480" w:hanging="360"/>
      </w:pPr>
      <w:rPr>
        <w:rFonts w:ascii="Courier New" w:hAnsi="Courier New" w:cs="Courier New" w:hint="default"/>
      </w:rPr>
    </w:lvl>
    <w:lvl w:ilvl="2" w:tplc="0C090005" w:tentative="1">
      <w:start w:val="1"/>
      <w:numFmt w:val="bullet"/>
      <w:lvlText w:val=""/>
      <w:lvlJc w:val="left"/>
      <w:pPr>
        <w:ind w:left="3200" w:hanging="360"/>
      </w:pPr>
      <w:rPr>
        <w:rFonts w:ascii="Wingdings" w:hAnsi="Wingdings" w:hint="default"/>
      </w:rPr>
    </w:lvl>
    <w:lvl w:ilvl="3" w:tplc="0C090001" w:tentative="1">
      <w:start w:val="1"/>
      <w:numFmt w:val="bullet"/>
      <w:lvlText w:val=""/>
      <w:lvlJc w:val="left"/>
      <w:pPr>
        <w:ind w:left="3920" w:hanging="360"/>
      </w:pPr>
      <w:rPr>
        <w:rFonts w:ascii="Symbol" w:hAnsi="Symbol" w:hint="default"/>
      </w:rPr>
    </w:lvl>
    <w:lvl w:ilvl="4" w:tplc="0C090003" w:tentative="1">
      <w:start w:val="1"/>
      <w:numFmt w:val="bullet"/>
      <w:lvlText w:val="o"/>
      <w:lvlJc w:val="left"/>
      <w:pPr>
        <w:ind w:left="4640" w:hanging="360"/>
      </w:pPr>
      <w:rPr>
        <w:rFonts w:ascii="Courier New" w:hAnsi="Courier New" w:cs="Courier New" w:hint="default"/>
      </w:rPr>
    </w:lvl>
    <w:lvl w:ilvl="5" w:tplc="0C090005" w:tentative="1">
      <w:start w:val="1"/>
      <w:numFmt w:val="bullet"/>
      <w:lvlText w:val=""/>
      <w:lvlJc w:val="left"/>
      <w:pPr>
        <w:ind w:left="5360" w:hanging="360"/>
      </w:pPr>
      <w:rPr>
        <w:rFonts w:ascii="Wingdings" w:hAnsi="Wingdings" w:hint="default"/>
      </w:rPr>
    </w:lvl>
    <w:lvl w:ilvl="6" w:tplc="0C090001" w:tentative="1">
      <w:start w:val="1"/>
      <w:numFmt w:val="bullet"/>
      <w:lvlText w:val=""/>
      <w:lvlJc w:val="left"/>
      <w:pPr>
        <w:ind w:left="6080" w:hanging="360"/>
      </w:pPr>
      <w:rPr>
        <w:rFonts w:ascii="Symbol" w:hAnsi="Symbol" w:hint="default"/>
      </w:rPr>
    </w:lvl>
    <w:lvl w:ilvl="7" w:tplc="0C090003" w:tentative="1">
      <w:start w:val="1"/>
      <w:numFmt w:val="bullet"/>
      <w:lvlText w:val="o"/>
      <w:lvlJc w:val="left"/>
      <w:pPr>
        <w:ind w:left="6800" w:hanging="360"/>
      </w:pPr>
      <w:rPr>
        <w:rFonts w:ascii="Courier New" w:hAnsi="Courier New" w:cs="Courier New" w:hint="default"/>
      </w:rPr>
    </w:lvl>
    <w:lvl w:ilvl="8" w:tplc="0C090005" w:tentative="1">
      <w:start w:val="1"/>
      <w:numFmt w:val="bullet"/>
      <w:lvlText w:val=""/>
      <w:lvlJc w:val="left"/>
      <w:pPr>
        <w:ind w:left="7520" w:hanging="360"/>
      </w:pPr>
      <w:rPr>
        <w:rFonts w:ascii="Wingdings" w:hAnsi="Wingdings" w:hint="default"/>
      </w:rPr>
    </w:lvl>
  </w:abstractNum>
  <w:abstractNum w:abstractNumId="24" w15:restartNumberingAfterBreak="0">
    <w:nsid w:val="47391FFD"/>
    <w:multiLevelType w:val="hybridMultilevel"/>
    <w:tmpl w:val="D20C98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9CE165A"/>
    <w:multiLevelType w:val="hybridMultilevel"/>
    <w:tmpl w:val="49E0AC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1863882"/>
    <w:multiLevelType w:val="hybridMultilevel"/>
    <w:tmpl w:val="0F7421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D205737"/>
    <w:multiLevelType w:val="hybridMultilevel"/>
    <w:tmpl w:val="333280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5C2B4D"/>
    <w:multiLevelType w:val="hybridMultilevel"/>
    <w:tmpl w:val="DD8AB8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EE96842"/>
    <w:multiLevelType w:val="hybridMultilevel"/>
    <w:tmpl w:val="2528C8B0"/>
    <w:lvl w:ilvl="0" w:tplc="FD1A8DF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FC26CBA"/>
    <w:multiLevelType w:val="hybridMultilevel"/>
    <w:tmpl w:val="62B648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0987234"/>
    <w:multiLevelType w:val="multilevel"/>
    <w:tmpl w:val="8D7EAE42"/>
    <w:lvl w:ilvl="0">
      <w:start w:val="1"/>
      <w:numFmt w:val="bullet"/>
      <w:lvlText w:val=""/>
      <w:lvlJc w:val="left"/>
      <w:pPr>
        <w:tabs>
          <w:tab w:val="num" w:pos="284"/>
        </w:tabs>
        <w:ind w:left="567" w:hanging="567"/>
      </w:pPr>
      <w:rPr>
        <w:rFonts w:ascii="Symbol" w:hAnsi="Symbol" w:hint="default"/>
        <w:color w:val="F3901D"/>
        <w:sz w:val="24"/>
      </w:rPr>
    </w:lvl>
    <w:lvl w:ilvl="1">
      <w:start w:val="1"/>
      <w:numFmt w:val="bullet"/>
      <w:pStyle w:val="ReportBullet2"/>
      <w:lvlText w:val="-"/>
      <w:lvlJc w:val="left"/>
      <w:pPr>
        <w:tabs>
          <w:tab w:val="num" w:pos="284"/>
        </w:tabs>
        <w:ind w:left="567" w:hanging="283"/>
      </w:pPr>
      <w:rPr>
        <w:rFonts w:ascii="Arial" w:hAnsi="Arial" w:hint="default"/>
        <w:color w:val="F3901D"/>
      </w:rPr>
    </w:lvl>
    <w:lvl w:ilvl="2">
      <w:start w:val="1"/>
      <w:numFmt w:val="bullet"/>
      <w:lvlText w:val=""/>
      <w:lvlJc w:val="left"/>
      <w:pPr>
        <w:tabs>
          <w:tab w:val="num" w:pos="5171"/>
        </w:tabs>
        <w:ind w:left="5171" w:hanging="360"/>
      </w:pPr>
      <w:rPr>
        <w:rFonts w:ascii="Wingdings" w:hAnsi="Wingdings" w:hint="default"/>
      </w:rPr>
    </w:lvl>
    <w:lvl w:ilvl="3">
      <w:start w:val="1"/>
      <w:numFmt w:val="bullet"/>
      <w:lvlText w:val=""/>
      <w:lvlJc w:val="left"/>
      <w:pPr>
        <w:tabs>
          <w:tab w:val="num" w:pos="5891"/>
        </w:tabs>
        <w:ind w:left="5891" w:hanging="360"/>
      </w:pPr>
      <w:rPr>
        <w:rFonts w:ascii="Symbol" w:hAnsi="Symbol" w:hint="default"/>
      </w:rPr>
    </w:lvl>
    <w:lvl w:ilvl="4">
      <w:start w:val="1"/>
      <w:numFmt w:val="bullet"/>
      <w:lvlText w:val="o"/>
      <w:lvlJc w:val="left"/>
      <w:pPr>
        <w:tabs>
          <w:tab w:val="num" w:pos="6611"/>
        </w:tabs>
        <w:ind w:left="6611" w:hanging="360"/>
      </w:pPr>
      <w:rPr>
        <w:rFonts w:ascii="Courier New" w:hAnsi="Courier New" w:cs="Courier New" w:hint="default"/>
      </w:rPr>
    </w:lvl>
    <w:lvl w:ilvl="5">
      <w:start w:val="1"/>
      <w:numFmt w:val="bullet"/>
      <w:lvlText w:val=""/>
      <w:lvlJc w:val="left"/>
      <w:pPr>
        <w:tabs>
          <w:tab w:val="num" w:pos="7331"/>
        </w:tabs>
        <w:ind w:left="7331" w:hanging="360"/>
      </w:pPr>
      <w:rPr>
        <w:rFonts w:ascii="Wingdings" w:hAnsi="Wingdings" w:hint="default"/>
      </w:rPr>
    </w:lvl>
    <w:lvl w:ilvl="6">
      <w:start w:val="1"/>
      <w:numFmt w:val="bullet"/>
      <w:lvlText w:val=""/>
      <w:lvlJc w:val="left"/>
      <w:pPr>
        <w:tabs>
          <w:tab w:val="num" w:pos="8051"/>
        </w:tabs>
        <w:ind w:left="8051" w:hanging="360"/>
      </w:pPr>
      <w:rPr>
        <w:rFonts w:ascii="Symbol" w:hAnsi="Symbol" w:hint="default"/>
      </w:rPr>
    </w:lvl>
    <w:lvl w:ilvl="7">
      <w:start w:val="1"/>
      <w:numFmt w:val="bullet"/>
      <w:lvlText w:val="o"/>
      <w:lvlJc w:val="left"/>
      <w:pPr>
        <w:tabs>
          <w:tab w:val="num" w:pos="8771"/>
        </w:tabs>
        <w:ind w:left="8771" w:hanging="360"/>
      </w:pPr>
      <w:rPr>
        <w:rFonts w:ascii="Courier New" w:hAnsi="Courier New" w:cs="Courier New" w:hint="default"/>
      </w:rPr>
    </w:lvl>
    <w:lvl w:ilvl="8">
      <w:start w:val="1"/>
      <w:numFmt w:val="bullet"/>
      <w:lvlText w:val=""/>
      <w:lvlJc w:val="left"/>
      <w:pPr>
        <w:tabs>
          <w:tab w:val="num" w:pos="9491"/>
        </w:tabs>
        <w:ind w:left="9491" w:hanging="360"/>
      </w:pPr>
      <w:rPr>
        <w:rFonts w:ascii="Wingdings" w:hAnsi="Wingdings" w:hint="default"/>
      </w:rPr>
    </w:lvl>
  </w:abstractNum>
  <w:abstractNum w:abstractNumId="32" w15:restartNumberingAfterBreak="0">
    <w:nsid w:val="62BA4910"/>
    <w:multiLevelType w:val="hybridMultilevel"/>
    <w:tmpl w:val="0DFA87F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4491F77"/>
    <w:multiLevelType w:val="hybridMultilevel"/>
    <w:tmpl w:val="BD5296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65507BDC"/>
    <w:multiLevelType w:val="hybridMultilevel"/>
    <w:tmpl w:val="CE425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5C61776"/>
    <w:multiLevelType w:val="hybridMultilevel"/>
    <w:tmpl w:val="7F100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66860C3"/>
    <w:multiLevelType w:val="hybridMultilevel"/>
    <w:tmpl w:val="AC3E6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7D3317"/>
    <w:multiLevelType w:val="hybridMultilevel"/>
    <w:tmpl w:val="8EF616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15:restartNumberingAfterBreak="0">
    <w:nsid w:val="6BEC1141"/>
    <w:multiLevelType w:val="hybridMultilevel"/>
    <w:tmpl w:val="15B04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AA5186"/>
    <w:multiLevelType w:val="hybridMultilevel"/>
    <w:tmpl w:val="FB126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4D32288"/>
    <w:multiLevelType w:val="hybridMultilevel"/>
    <w:tmpl w:val="2494A1FE"/>
    <w:lvl w:ilvl="0" w:tplc="27BA8252">
      <w:start w:val="1"/>
      <w:numFmt w:val="decimal"/>
      <w:pStyle w:val="Reportnumbered"/>
      <w:lvlText w:val="%1."/>
      <w:lvlJc w:val="left"/>
      <w:pPr>
        <w:ind w:left="360" w:hanging="360"/>
      </w:pPr>
      <w:rPr>
        <w:rFonts w:hint="default"/>
        <w:b/>
        <w:i w:val="0"/>
        <w:color w:val="F3901D" w:themeColor="accent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597544"/>
    <w:multiLevelType w:val="hybridMultilevel"/>
    <w:tmpl w:val="C7E4247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83E27F9"/>
    <w:multiLevelType w:val="hybridMultilevel"/>
    <w:tmpl w:val="5C50F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C1467F"/>
    <w:multiLevelType w:val="hybridMultilevel"/>
    <w:tmpl w:val="6FE87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C8726A0"/>
    <w:multiLevelType w:val="hybridMultilevel"/>
    <w:tmpl w:val="E42AE1C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D82413F"/>
    <w:multiLevelType w:val="multilevel"/>
    <w:tmpl w:val="17FED4E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E9151FB"/>
    <w:multiLevelType w:val="multilevel"/>
    <w:tmpl w:val="B5482C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0"/>
  </w:num>
  <w:num w:numId="3">
    <w:abstractNumId w:val="21"/>
  </w:num>
  <w:num w:numId="4">
    <w:abstractNumId w:val="4"/>
  </w:num>
  <w:num w:numId="5">
    <w:abstractNumId w:val="31"/>
  </w:num>
  <w:num w:numId="6">
    <w:abstractNumId w:val="40"/>
  </w:num>
  <w:num w:numId="7">
    <w:abstractNumId w:val="45"/>
  </w:num>
  <w:num w:numId="8">
    <w:abstractNumId w:val="46"/>
  </w:num>
  <w:num w:numId="9">
    <w:abstractNumId w:val="13"/>
  </w:num>
  <w:num w:numId="10">
    <w:abstractNumId w:val="2"/>
  </w:num>
  <w:num w:numId="11">
    <w:abstractNumId w:val="1"/>
  </w:num>
  <w:num w:numId="12">
    <w:abstractNumId w:val="10"/>
  </w:num>
  <w:num w:numId="13">
    <w:abstractNumId w:val="11"/>
  </w:num>
  <w:num w:numId="14">
    <w:abstractNumId w:val="4"/>
  </w:num>
  <w:num w:numId="15">
    <w:abstractNumId w:val="4"/>
  </w:num>
  <w:num w:numId="16">
    <w:abstractNumId w:val="26"/>
  </w:num>
  <w:num w:numId="17">
    <w:abstractNumId w:val="41"/>
  </w:num>
  <w:num w:numId="18">
    <w:abstractNumId w:val="28"/>
  </w:num>
  <w:num w:numId="19">
    <w:abstractNumId w:val="22"/>
  </w:num>
  <w:num w:numId="20">
    <w:abstractNumId w:val="16"/>
  </w:num>
  <w:num w:numId="21">
    <w:abstractNumId w:val="25"/>
  </w:num>
  <w:num w:numId="22">
    <w:abstractNumId w:val="44"/>
  </w:num>
  <w:num w:numId="23">
    <w:abstractNumId w:val="24"/>
  </w:num>
  <w:num w:numId="24">
    <w:abstractNumId w:val="12"/>
  </w:num>
  <w:num w:numId="25">
    <w:abstractNumId w:val="20"/>
  </w:num>
  <w:num w:numId="26">
    <w:abstractNumId w:val="34"/>
  </w:num>
  <w:num w:numId="27">
    <w:abstractNumId w:val="17"/>
  </w:num>
  <w:num w:numId="28">
    <w:abstractNumId w:val="43"/>
  </w:num>
  <w:num w:numId="29">
    <w:abstractNumId w:val="30"/>
  </w:num>
  <w:num w:numId="30">
    <w:abstractNumId w:val="39"/>
  </w:num>
  <w:num w:numId="31">
    <w:abstractNumId w:val="33"/>
  </w:num>
  <w:num w:numId="32">
    <w:abstractNumId w:val="32"/>
  </w:num>
  <w:num w:numId="33">
    <w:abstractNumId w:val="5"/>
  </w:num>
  <w:num w:numId="34">
    <w:abstractNumId w:val="18"/>
  </w:num>
  <w:num w:numId="35">
    <w:abstractNumId w:val="23"/>
  </w:num>
  <w:num w:numId="36">
    <w:abstractNumId w:val="19"/>
  </w:num>
  <w:num w:numId="37">
    <w:abstractNumId w:val="42"/>
  </w:num>
  <w:num w:numId="38">
    <w:abstractNumId w:val="37"/>
  </w:num>
  <w:num w:numId="39">
    <w:abstractNumId w:val="9"/>
  </w:num>
  <w:num w:numId="40">
    <w:abstractNumId w:val="38"/>
  </w:num>
  <w:num w:numId="41">
    <w:abstractNumId w:val="36"/>
  </w:num>
  <w:num w:numId="42">
    <w:abstractNumId w:val="8"/>
  </w:num>
  <w:num w:numId="43">
    <w:abstractNumId w:val="15"/>
  </w:num>
  <w:num w:numId="44">
    <w:abstractNumId w:val="29"/>
  </w:num>
  <w:num w:numId="45">
    <w:abstractNumId w:val="7"/>
  </w:num>
  <w:num w:numId="46">
    <w:abstractNumId w:val="3"/>
  </w:num>
  <w:num w:numId="47">
    <w:abstractNumId w:val="27"/>
  </w:num>
  <w:num w:numId="48">
    <w:abstractNumId w:val="35"/>
  </w:num>
  <w:num w:numId="49">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trackRevisions/>
  <w:defaultTabStop w:val="720"/>
  <w:doNotHyphenateCaps/>
  <w:drawingGridHorizontalSpacing w:val="120"/>
  <w:drawingGridVerticalSpacing w:val="181"/>
  <w:displayHorizontalDrawingGridEvery w:val="2"/>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Style of Quiet Achievers&lt;/Style&gt;&lt;LeftDelim&gt;{&lt;/LeftDelim&gt;&lt;RightDelim&gt;}&lt;/RightDelim&gt;&lt;FontName&gt;Arial&lt;/FontName&gt;&lt;FontSize&gt;9&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w50tvwzipsz2sefraq5ptxb0vwatxv0sv5p&quot;&gt;Out of pockets&lt;record-ids&gt;&lt;item&gt;1&lt;/item&gt;&lt;item&gt;2&lt;/item&gt;&lt;item&gt;3&lt;/item&gt;&lt;item&gt;4&lt;/item&gt;&lt;item&gt;9&lt;/item&gt;&lt;item&gt;10&lt;/item&gt;&lt;item&gt;11&lt;/item&gt;&lt;item&gt;12&lt;/item&gt;&lt;item&gt;13&lt;/item&gt;&lt;item&gt;14&lt;/item&gt;&lt;item&gt;15&lt;/item&gt;&lt;item&gt;16&lt;/item&gt;&lt;item&gt;17&lt;/item&gt;&lt;item&gt;18&lt;/item&gt;&lt;item&gt;19&lt;/item&gt;&lt;item&gt;20&lt;/item&gt;&lt;item&gt;21&lt;/item&gt;&lt;item&gt;23&lt;/item&gt;&lt;/record-ids&gt;&lt;/item&gt;&lt;/Libraries&gt;"/>
  </w:docVars>
  <w:rsids>
    <w:rsidRoot w:val="002C3B3A"/>
    <w:rsid w:val="00000F2F"/>
    <w:rsid w:val="000011E7"/>
    <w:rsid w:val="00004F20"/>
    <w:rsid w:val="000073DE"/>
    <w:rsid w:val="000076E8"/>
    <w:rsid w:val="00007E38"/>
    <w:rsid w:val="00011A64"/>
    <w:rsid w:val="00014888"/>
    <w:rsid w:val="0001491E"/>
    <w:rsid w:val="00016E89"/>
    <w:rsid w:val="00020080"/>
    <w:rsid w:val="0002268F"/>
    <w:rsid w:val="000254E3"/>
    <w:rsid w:val="00026580"/>
    <w:rsid w:val="00026E24"/>
    <w:rsid w:val="00026F36"/>
    <w:rsid w:val="00027A95"/>
    <w:rsid w:val="0003019A"/>
    <w:rsid w:val="0003058B"/>
    <w:rsid w:val="00030EF6"/>
    <w:rsid w:val="0003255A"/>
    <w:rsid w:val="00033008"/>
    <w:rsid w:val="00033101"/>
    <w:rsid w:val="000415CC"/>
    <w:rsid w:val="00041DDF"/>
    <w:rsid w:val="0004206E"/>
    <w:rsid w:val="00043C0F"/>
    <w:rsid w:val="0004609E"/>
    <w:rsid w:val="00046BE2"/>
    <w:rsid w:val="000503E1"/>
    <w:rsid w:val="00051219"/>
    <w:rsid w:val="000517BA"/>
    <w:rsid w:val="00054E3B"/>
    <w:rsid w:val="00055B5E"/>
    <w:rsid w:val="00057920"/>
    <w:rsid w:val="00060140"/>
    <w:rsid w:val="00061BE1"/>
    <w:rsid w:val="00065192"/>
    <w:rsid w:val="00066EF8"/>
    <w:rsid w:val="00070321"/>
    <w:rsid w:val="00070838"/>
    <w:rsid w:val="000738D2"/>
    <w:rsid w:val="00074BA9"/>
    <w:rsid w:val="00074D04"/>
    <w:rsid w:val="00074D10"/>
    <w:rsid w:val="00074EF0"/>
    <w:rsid w:val="000759DC"/>
    <w:rsid w:val="00080B6C"/>
    <w:rsid w:val="00082F13"/>
    <w:rsid w:val="00084223"/>
    <w:rsid w:val="00085CB4"/>
    <w:rsid w:val="00085E51"/>
    <w:rsid w:val="00086DD9"/>
    <w:rsid w:val="000911C3"/>
    <w:rsid w:val="000919FB"/>
    <w:rsid w:val="00091BA9"/>
    <w:rsid w:val="000960DB"/>
    <w:rsid w:val="00096902"/>
    <w:rsid w:val="00096F72"/>
    <w:rsid w:val="000A1717"/>
    <w:rsid w:val="000A64D1"/>
    <w:rsid w:val="000A67CE"/>
    <w:rsid w:val="000A7EDD"/>
    <w:rsid w:val="000B01A9"/>
    <w:rsid w:val="000B0C92"/>
    <w:rsid w:val="000B0F2C"/>
    <w:rsid w:val="000B1D75"/>
    <w:rsid w:val="000B253A"/>
    <w:rsid w:val="000B373F"/>
    <w:rsid w:val="000B4389"/>
    <w:rsid w:val="000B5343"/>
    <w:rsid w:val="000B593A"/>
    <w:rsid w:val="000B6686"/>
    <w:rsid w:val="000B7C15"/>
    <w:rsid w:val="000C0E6B"/>
    <w:rsid w:val="000C2E60"/>
    <w:rsid w:val="000C438E"/>
    <w:rsid w:val="000C47C3"/>
    <w:rsid w:val="000C65AC"/>
    <w:rsid w:val="000C6739"/>
    <w:rsid w:val="000C6BE2"/>
    <w:rsid w:val="000D16EC"/>
    <w:rsid w:val="000D1797"/>
    <w:rsid w:val="000D4B47"/>
    <w:rsid w:val="000D5754"/>
    <w:rsid w:val="000E0509"/>
    <w:rsid w:val="000E07E0"/>
    <w:rsid w:val="000E2AAA"/>
    <w:rsid w:val="000E4744"/>
    <w:rsid w:val="000E60B1"/>
    <w:rsid w:val="000E6245"/>
    <w:rsid w:val="000E7307"/>
    <w:rsid w:val="000F4BF9"/>
    <w:rsid w:val="000F684F"/>
    <w:rsid w:val="000F74D2"/>
    <w:rsid w:val="00101B2C"/>
    <w:rsid w:val="00101BFC"/>
    <w:rsid w:val="00102B11"/>
    <w:rsid w:val="00104DE3"/>
    <w:rsid w:val="00105060"/>
    <w:rsid w:val="0010560B"/>
    <w:rsid w:val="001056C0"/>
    <w:rsid w:val="00105E14"/>
    <w:rsid w:val="00107D74"/>
    <w:rsid w:val="00111F93"/>
    <w:rsid w:val="00113264"/>
    <w:rsid w:val="0011499F"/>
    <w:rsid w:val="0011651F"/>
    <w:rsid w:val="00121B3E"/>
    <w:rsid w:val="0012216F"/>
    <w:rsid w:val="00122AE5"/>
    <w:rsid w:val="00124EAA"/>
    <w:rsid w:val="001329C9"/>
    <w:rsid w:val="00136B33"/>
    <w:rsid w:val="00137898"/>
    <w:rsid w:val="001401CA"/>
    <w:rsid w:val="00142626"/>
    <w:rsid w:val="0014582D"/>
    <w:rsid w:val="00146521"/>
    <w:rsid w:val="00146807"/>
    <w:rsid w:val="001525E7"/>
    <w:rsid w:val="001527CF"/>
    <w:rsid w:val="00152DD3"/>
    <w:rsid w:val="001625C6"/>
    <w:rsid w:val="00165254"/>
    <w:rsid w:val="00165BAF"/>
    <w:rsid w:val="00166CB0"/>
    <w:rsid w:val="0016742D"/>
    <w:rsid w:val="00170EF2"/>
    <w:rsid w:val="00170F1D"/>
    <w:rsid w:val="00172737"/>
    <w:rsid w:val="0017350C"/>
    <w:rsid w:val="00174F78"/>
    <w:rsid w:val="001779E2"/>
    <w:rsid w:val="0018171D"/>
    <w:rsid w:val="0018397E"/>
    <w:rsid w:val="00183EB6"/>
    <w:rsid w:val="00184F5C"/>
    <w:rsid w:val="00185073"/>
    <w:rsid w:val="00187D6D"/>
    <w:rsid w:val="001905AE"/>
    <w:rsid w:val="001A0565"/>
    <w:rsid w:val="001A1A5D"/>
    <w:rsid w:val="001A22FD"/>
    <w:rsid w:val="001A2A20"/>
    <w:rsid w:val="001A4B36"/>
    <w:rsid w:val="001A5478"/>
    <w:rsid w:val="001A607A"/>
    <w:rsid w:val="001A64BC"/>
    <w:rsid w:val="001B0BC6"/>
    <w:rsid w:val="001B232A"/>
    <w:rsid w:val="001B259A"/>
    <w:rsid w:val="001B2E1B"/>
    <w:rsid w:val="001B466E"/>
    <w:rsid w:val="001B69F3"/>
    <w:rsid w:val="001B7F87"/>
    <w:rsid w:val="001C0052"/>
    <w:rsid w:val="001C4B18"/>
    <w:rsid w:val="001C6EA1"/>
    <w:rsid w:val="001D06B7"/>
    <w:rsid w:val="001D1AAF"/>
    <w:rsid w:val="001D4AD1"/>
    <w:rsid w:val="001D51B8"/>
    <w:rsid w:val="001D52FF"/>
    <w:rsid w:val="001D590B"/>
    <w:rsid w:val="001D6BC1"/>
    <w:rsid w:val="001D78C7"/>
    <w:rsid w:val="001E0CCA"/>
    <w:rsid w:val="001E14FB"/>
    <w:rsid w:val="001E2CFF"/>
    <w:rsid w:val="001E3AF8"/>
    <w:rsid w:val="001E61C8"/>
    <w:rsid w:val="001E657B"/>
    <w:rsid w:val="001E751B"/>
    <w:rsid w:val="001E7C25"/>
    <w:rsid w:val="001F0BA5"/>
    <w:rsid w:val="001F14A3"/>
    <w:rsid w:val="001F1643"/>
    <w:rsid w:val="001F251E"/>
    <w:rsid w:val="001F287E"/>
    <w:rsid w:val="001F2968"/>
    <w:rsid w:val="001F2D25"/>
    <w:rsid w:val="001F4231"/>
    <w:rsid w:val="002012AE"/>
    <w:rsid w:val="002014B0"/>
    <w:rsid w:val="002040CB"/>
    <w:rsid w:val="002061BC"/>
    <w:rsid w:val="002066FE"/>
    <w:rsid w:val="00210C1C"/>
    <w:rsid w:val="002118DD"/>
    <w:rsid w:val="00214D82"/>
    <w:rsid w:val="0021547B"/>
    <w:rsid w:val="00215FD4"/>
    <w:rsid w:val="00220F3B"/>
    <w:rsid w:val="0022170D"/>
    <w:rsid w:val="00223A72"/>
    <w:rsid w:val="0022480D"/>
    <w:rsid w:val="00224C46"/>
    <w:rsid w:val="00227F1E"/>
    <w:rsid w:val="00234081"/>
    <w:rsid w:val="00236425"/>
    <w:rsid w:val="00236D31"/>
    <w:rsid w:val="00237E5F"/>
    <w:rsid w:val="0024151F"/>
    <w:rsid w:val="00242073"/>
    <w:rsid w:val="00242C70"/>
    <w:rsid w:val="002453B9"/>
    <w:rsid w:val="00246105"/>
    <w:rsid w:val="0024650F"/>
    <w:rsid w:val="0025300E"/>
    <w:rsid w:val="00253F1A"/>
    <w:rsid w:val="002546B8"/>
    <w:rsid w:val="00254AD2"/>
    <w:rsid w:val="00255E6A"/>
    <w:rsid w:val="00256775"/>
    <w:rsid w:val="00256BB0"/>
    <w:rsid w:val="002576CE"/>
    <w:rsid w:val="00260590"/>
    <w:rsid w:val="00260A0A"/>
    <w:rsid w:val="00260A14"/>
    <w:rsid w:val="0026121F"/>
    <w:rsid w:val="00261F3C"/>
    <w:rsid w:val="00262BA3"/>
    <w:rsid w:val="00264631"/>
    <w:rsid w:val="002646EB"/>
    <w:rsid w:val="0026551E"/>
    <w:rsid w:val="00266643"/>
    <w:rsid w:val="0026689F"/>
    <w:rsid w:val="00267FB2"/>
    <w:rsid w:val="00272524"/>
    <w:rsid w:val="0027685F"/>
    <w:rsid w:val="00276A29"/>
    <w:rsid w:val="00277422"/>
    <w:rsid w:val="002809E3"/>
    <w:rsid w:val="002823BB"/>
    <w:rsid w:val="00283174"/>
    <w:rsid w:val="00284202"/>
    <w:rsid w:val="00285444"/>
    <w:rsid w:val="0028592E"/>
    <w:rsid w:val="00290DD3"/>
    <w:rsid w:val="002915A6"/>
    <w:rsid w:val="00291C08"/>
    <w:rsid w:val="002929BC"/>
    <w:rsid w:val="00292A05"/>
    <w:rsid w:val="002937B1"/>
    <w:rsid w:val="00293AF4"/>
    <w:rsid w:val="002965D1"/>
    <w:rsid w:val="00296C56"/>
    <w:rsid w:val="002972F0"/>
    <w:rsid w:val="00297A56"/>
    <w:rsid w:val="002A32FC"/>
    <w:rsid w:val="002A33F6"/>
    <w:rsid w:val="002A35BC"/>
    <w:rsid w:val="002B0764"/>
    <w:rsid w:val="002B0FD6"/>
    <w:rsid w:val="002B11FF"/>
    <w:rsid w:val="002B18CF"/>
    <w:rsid w:val="002B19B0"/>
    <w:rsid w:val="002B4CDB"/>
    <w:rsid w:val="002B5E5C"/>
    <w:rsid w:val="002B7465"/>
    <w:rsid w:val="002B74D8"/>
    <w:rsid w:val="002C04E9"/>
    <w:rsid w:val="002C0FEB"/>
    <w:rsid w:val="002C203D"/>
    <w:rsid w:val="002C3B3A"/>
    <w:rsid w:val="002C77A9"/>
    <w:rsid w:val="002C7BD6"/>
    <w:rsid w:val="002C7CCD"/>
    <w:rsid w:val="002D3E2D"/>
    <w:rsid w:val="002D3FFE"/>
    <w:rsid w:val="002D47F4"/>
    <w:rsid w:val="002D4B84"/>
    <w:rsid w:val="002D4C02"/>
    <w:rsid w:val="002D7C22"/>
    <w:rsid w:val="002E0E7A"/>
    <w:rsid w:val="002E3356"/>
    <w:rsid w:val="002E41EF"/>
    <w:rsid w:val="002E4354"/>
    <w:rsid w:val="002E4BAD"/>
    <w:rsid w:val="002E5BBC"/>
    <w:rsid w:val="002E7CC4"/>
    <w:rsid w:val="002E7DAF"/>
    <w:rsid w:val="002E7EDA"/>
    <w:rsid w:val="002F00C7"/>
    <w:rsid w:val="002F0FD9"/>
    <w:rsid w:val="002F10CD"/>
    <w:rsid w:val="002F35A3"/>
    <w:rsid w:val="002F4BA9"/>
    <w:rsid w:val="002F5869"/>
    <w:rsid w:val="002F5F3F"/>
    <w:rsid w:val="00302F03"/>
    <w:rsid w:val="0030410D"/>
    <w:rsid w:val="00304FBE"/>
    <w:rsid w:val="00310BD3"/>
    <w:rsid w:val="00311D45"/>
    <w:rsid w:val="0031440A"/>
    <w:rsid w:val="00314586"/>
    <w:rsid w:val="00317CC0"/>
    <w:rsid w:val="00323884"/>
    <w:rsid w:val="003240E4"/>
    <w:rsid w:val="00325545"/>
    <w:rsid w:val="003273BF"/>
    <w:rsid w:val="003306D6"/>
    <w:rsid w:val="00330BE6"/>
    <w:rsid w:val="00330E72"/>
    <w:rsid w:val="003320D5"/>
    <w:rsid w:val="003349E4"/>
    <w:rsid w:val="003351FB"/>
    <w:rsid w:val="00335716"/>
    <w:rsid w:val="00337B29"/>
    <w:rsid w:val="00337E65"/>
    <w:rsid w:val="003404DC"/>
    <w:rsid w:val="00340FB4"/>
    <w:rsid w:val="00342827"/>
    <w:rsid w:val="00343522"/>
    <w:rsid w:val="0034380F"/>
    <w:rsid w:val="00344ABF"/>
    <w:rsid w:val="0034632B"/>
    <w:rsid w:val="00346939"/>
    <w:rsid w:val="00347E3F"/>
    <w:rsid w:val="00351113"/>
    <w:rsid w:val="003538CB"/>
    <w:rsid w:val="0035480A"/>
    <w:rsid w:val="00357089"/>
    <w:rsid w:val="00361FD4"/>
    <w:rsid w:val="00362B67"/>
    <w:rsid w:val="00363A88"/>
    <w:rsid w:val="003668E8"/>
    <w:rsid w:val="00366918"/>
    <w:rsid w:val="00367229"/>
    <w:rsid w:val="003721D0"/>
    <w:rsid w:val="00374E49"/>
    <w:rsid w:val="00375A43"/>
    <w:rsid w:val="00377AB3"/>
    <w:rsid w:val="00377F91"/>
    <w:rsid w:val="00380A3C"/>
    <w:rsid w:val="00381BEB"/>
    <w:rsid w:val="00383E6C"/>
    <w:rsid w:val="00384FC3"/>
    <w:rsid w:val="003858DE"/>
    <w:rsid w:val="00386AB5"/>
    <w:rsid w:val="00391302"/>
    <w:rsid w:val="003917BA"/>
    <w:rsid w:val="003920BC"/>
    <w:rsid w:val="003922D3"/>
    <w:rsid w:val="00393431"/>
    <w:rsid w:val="00394120"/>
    <w:rsid w:val="00394770"/>
    <w:rsid w:val="003971D4"/>
    <w:rsid w:val="00397666"/>
    <w:rsid w:val="003A0D00"/>
    <w:rsid w:val="003A3201"/>
    <w:rsid w:val="003A3F25"/>
    <w:rsid w:val="003A41B1"/>
    <w:rsid w:val="003A519B"/>
    <w:rsid w:val="003A5E65"/>
    <w:rsid w:val="003A7EF3"/>
    <w:rsid w:val="003B1D60"/>
    <w:rsid w:val="003B2B06"/>
    <w:rsid w:val="003B31C6"/>
    <w:rsid w:val="003B32F0"/>
    <w:rsid w:val="003B7A57"/>
    <w:rsid w:val="003C21E5"/>
    <w:rsid w:val="003C2A4E"/>
    <w:rsid w:val="003C3739"/>
    <w:rsid w:val="003C49AA"/>
    <w:rsid w:val="003C49F9"/>
    <w:rsid w:val="003C4C4D"/>
    <w:rsid w:val="003C70B7"/>
    <w:rsid w:val="003C7335"/>
    <w:rsid w:val="003D0FCD"/>
    <w:rsid w:val="003D1F42"/>
    <w:rsid w:val="003D2373"/>
    <w:rsid w:val="003D375B"/>
    <w:rsid w:val="003D473F"/>
    <w:rsid w:val="003E078B"/>
    <w:rsid w:val="003E0AC1"/>
    <w:rsid w:val="003E0E88"/>
    <w:rsid w:val="003E1D3D"/>
    <w:rsid w:val="003E1D99"/>
    <w:rsid w:val="003E1EE6"/>
    <w:rsid w:val="003E262B"/>
    <w:rsid w:val="003E3C29"/>
    <w:rsid w:val="003E62CB"/>
    <w:rsid w:val="003E6421"/>
    <w:rsid w:val="003E6DA2"/>
    <w:rsid w:val="003E713A"/>
    <w:rsid w:val="003E7516"/>
    <w:rsid w:val="003F17B3"/>
    <w:rsid w:val="003F1A47"/>
    <w:rsid w:val="003F3338"/>
    <w:rsid w:val="003F3449"/>
    <w:rsid w:val="003F36EB"/>
    <w:rsid w:val="003F3D25"/>
    <w:rsid w:val="003F406B"/>
    <w:rsid w:val="003F44E7"/>
    <w:rsid w:val="003F52DF"/>
    <w:rsid w:val="003F53C4"/>
    <w:rsid w:val="003F5687"/>
    <w:rsid w:val="003F5DB4"/>
    <w:rsid w:val="0040363E"/>
    <w:rsid w:val="0040398B"/>
    <w:rsid w:val="00403F7D"/>
    <w:rsid w:val="00405538"/>
    <w:rsid w:val="00407286"/>
    <w:rsid w:val="0041036F"/>
    <w:rsid w:val="00410658"/>
    <w:rsid w:val="00410DA6"/>
    <w:rsid w:val="00411181"/>
    <w:rsid w:val="00412224"/>
    <w:rsid w:val="004125CE"/>
    <w:rsid w:val="00412ADE"/>
    <w:rsid w:val="00413E0D"/>
    <w:rsid w:val="00414E11"/>
    <w:rsid w:val="00420446"/>
    <w:rsid w:val="004251E1"/>
    <w:rsid w:val="00425E42"/>
    <w:rsid w:val="004307B3"/>
    <w:rsid w:val="004307CB"/>
    <w:rsid w:val="00430DDE"/>
    <w:rsid w:val="00431C34"/>
    <w:rsid w:val="00435AF3"/>
    <w:rsid w:val="00437B46"/>
    <w:rsid w:val="00440C22"/>
    <w:rsid w:val="004420CD"/>
    <w:rsid w:val="00442457"/>
    <w:rsid w:val="004433DA"/>
    <w:rsid w:val="00443890"/>
    <w:rsid w:val="00446417"/>
    <w:rsid w:val="0044699E"/>
    <w:rsid w:val="0044725E"/>
    <w:rsid w:val="0044790C"/>
    <w:rsid w:val="00452F0F"/>
    <w:rsid w:val="0045491C"/>
    <w:rsid w:val="00456912"/>
    <w:rsid w:val="00456F1C"/>
    <w:rsid w:val="00460DE0"/>
    <w:rsid w:val="00462AD0"/>
    <w:rsid w:val="0046425A"/>
    <w:rsid w:val="00465130"/>
    <w:rsid w:val="00466392"/>
    <w:rsid w:val="00466A83"/>
    <w:rsid w:val="0047048C"/>
    <w:rsid w:val="0047059D"/>
    <w:rsid w:val="00471AA2"/>
    <w:rsid w:val="00472499"/>
    <w:rsid w:val="00476C62"/>
    <w:rsid w:val="00477AD2"/>
    <w:rsid w:val="0048436E"/>
    <w:rsid w:val="00486F56"/>
    <w:rsid w:val="0048761E"/>
    <w:rsid w:val="00487F84"/>
    <w:rsid w:val="00490FB7"/>
    <w:rsid w:val="00493D99"/>
    <w:rsid w:val="0049559A"/>
    <w:rsid w:val="00497676"/>
    <w:rsid w:val="00497CC1"/>
    <w:rsid w:val="004A153D"/>
    <w:rsid w:val="004A2EC1"/>
    <w:rsid w:val="004A497E"/>
    <w:rsid w:val="004A5E12"/>
    <w:rsid w:val="004A631D"/>
    <w:rsid w:val="004B5926"/>
    <w:rsid w:val="004B6136"/>
    <w:rsid w:val="004B7A95"/>
    <w:rsid w:val="004C0D4C"/>
    <w:rsid w:val="004C0F98"/>
    <w:rsid w:val="004C4A8A"/>
    <w:rsid w:val="004C5071"/>
    <w:rsid w:val="004C5164"/>
    <w:rsid w:val="004C5591"/>
    <w:rsid w:val="004C565E"/>
    <w:rsid w:val="004C6D5A"/>
    <w:rsid w:val="004C770D"/>
    <w:rsid w:val="004C77F7"/>
    <w:rsid w:val="004D2B93"/>
    <w:rsid w:val="004D2DAF"/>
    <w:rsid w:val="004D34E8"/>
    <w:rsid w:val="004D46E2"/>
    <w:rsid w:val="004D4A76"/>
    <w:rsid w:val="004D4C5F"/>
    <w:rsid w:val="004D54FE"/>
    <w:rsid w:val="004D6321"/>
    <w:rsid w:val="004E07BE"/>
    <w:rsid w:val="004E1926"/>
    <w:rsid w:val="004E3D72"/>
    <w:rsid w:val="004E5C46"/>
    <w:rsid w:val="004F1363"/>
    <w:rsid w:val="004F1820"/>
    <w:rsid w:val="004F277D"/>
    <w:rsid w:val="004F3384"/>
    <w:rsid w:val="004F3B53"/>
    <w:rsid w:val="004F3C6C"/>
    <w:rsid w:val="004F42D8"/>
    <w:rsid w:val="004F6534"/>
    <w:rsid w:val="004F6E37"/>
    <w:rsid w:val="004F7CA9"/>
    <w:rsid w:val="00500A48"/>
    <w:rsid w:val="0050130E"/>
    <w:rsid w:val="00501A40"/>
    <w:rsid w:val="00502A25"/>
    <w:rsid w:val="0050747E"/>
    <w:rsid w:val="005076F4"/>
    <w:rsid w:val="00510BE6"/>
    <w:rsid w:val="00510DC1"/>
    <w:rsid w:val="00511F0B"/>
    <w:rsid w:val="00512266"/>
    <w:rsid w:val="00513391"/>
    <w:rsid w:val="005133B3"/>
    <w:rsid w:val="005138F1"/>
    <w:rsid w:val="005171D1"/>
    <w:rsid w:val="0052022F"/>
    <w:rsid w:val="005217F1"/>
    <w:rsid w:val="005228F2"/>
    <w:rsid w:val="00522DA1"/>
    <w:rsid w:val="005236C7"/>
    <w:rsid w:val="00524504"/>
    <w:rsid w:val="0052478E"/>
    <w:rsid w:val="00524CC9"/>
    <w:rsid w:val="00525F35"/>
    <w:rsid w:val="005260EC"/>
    <w:rsid w:val="00526FB9"/>
    <w:rsid w:val="00526FE4"/>
    <w:rsid w:val="00530F0F"/>
    <w:rsid w:val="005315D2"/>
    <w:rsid w:val="005346D4"/>
    <w:rsid w:val="005349B3"/>
    <w:rsid w:val="00534DAA"/>
    <w:rsid w:val="0053517C"/>
    <w:rsid w:val="00536527"/>
    <w:rsid w:val="00541FB3"/>
    <w:rsid w:val="0054349E"/>
    <w:rsid w:val="00543F2B"/>
    <w:rsid w:val="0054688C"/>
    <w:rsid w:val="00547B60"/>
    <w:rsid w:val="00547C47"/>
    <w:rsid w:val="00552748"/>
    <w:rsid w:val="00552F5F"/>
    <w:rsid w:val="00554F0D"/>
    <w:rsid w:val="00555A9C"/>
    <w:rsid w:val="00556267"/>
    <w:rsid w:val="0056006E"/>
    <w:rsid w:val="00560A50"/>
    <w:rsid w:val="00561856"/>
    <w:rsid w:val="005621DB"/>
    <w:rsid w:val="00562B09"/>
    <w:rsid w:val="00563C6C"/>
    <w:rsid w:val="00564447"/>
    <w:rsid w:val="0057350E"/>
    <w:rsid w:val="005750A0"/>
    <w:rsid w:val="0057764C"/>
    <w:rsid w:val="005803FD"/>
    <w:rsid w:val="00581328"/>
    <w:rsid w:val="00581780"/>
    <w:rsid w:val="00582D19"/>
    <w:rsid w:val="00584AFC"/>
    <w:rsid w:val="0058518B"/>
    <w:rsid w:val="00587A9A"/>
    <w:rsid w:val="00587B03"/>
    <w:rsid w:val="005909FB"/>
    <w:rsid w:val="00591886"/>
    <w:rsid w:val="00593650"/>
    <w:rsid w:val="00596C3D"/>
    <w:rsid w:val="00596E5F"/>
    <w:rsid w:val="005A00AD"/>
    <w:rsid w:val="005A0D2E"/>
    <w:rsid w:val="005A120D"/>
    <w:rsid w:val="005A1F27"/>
    <w:rsid w:val="005A2236"/>
    <w:rsid w:val="005A28CA"/>
    <w:rsid w:val="005A4427"/>
    <w:rsid w:val="005A5949"/>
    <w:rsid w:val="005A7B64"/>
    <w:rsid w:val="005B0C4F"/>
    <w:rsid w:val="005B4417"/>
    <w:rsid w:val="005B5F9B"/>
    <w:rsid w:val="005B64B8"/>
    <w:rsid w:val="005C0B54"/>
    <w:rsid w:val="005C22F0"/>
    <w:rsid w:val="005C400D"/>
    <w:rsid w:val="005C433C"/>
    <w:rsid w:val="005C6593"/>
    <w:rsid w:val="005C65AD"/>
    <w:rsid w:val="005C6803"/>
    <w:rsid w:val="005C6D2F"/>
    <w:rsid w:val="005C76EE"/>
    <w:rsid w:val="005D11C6"/>
    <w:rsid w:val="005D1773"/>
    <w:rsid w:val="005D3911"/>
    <w:rsid w:val="005D511A"/>
    <w:rsid w:val="005D52EE"/>
    <w:rsid w:val="005D57DE"/>
    <w:rsid w:val="005E06D8"/>
    <w:rsid w:val="005E08FF"/>
    <w:rsid w:val="005E64A1"/>
    <w:rsid w:val="005E6888"/>
    <w:rsid w:val="005E6AE7"/>
    <w:rsid w:val="005E7AED"/>
    <w:rsid w:val="005E7B49"/>
    <w:rsid w:val="005F046F"/>
    <w:rsid w:val="005F0736"/>
    <w:rsid w:val="005F0F4D"/>
    <w:rsid w:val="005F1468"/>
    <w:rsid w:val="005F227E"/>
    <w:rsid w:val="005F26BB"/>
    <w:rsid w:val="005F283D"/>
    <w:rsid w:val="005F2D7A"/>
    <w:rsid w:val="005F70A6"/>
    <w:rsid w:val="006000F4"/>
    <w:rsid w:val="0060088F"/>
    <w:rsid w:val="00607425"/>
    <w:rsid w:val="006121F6"/>
    <w:rsid w:val="00612315"/>
    <w:rsid w:val="006156F5"/>
    <w:rsid w:val="006229F4"/>
    <w:rsid w:val="00625F4E"/>
    <w:rsid w:val="00625FA5"/>
    <w:rsid w:val="0062620C"/>
    <w:rsid w:val="006265F8"/>
    <w:rsid w:val="006302A9"/>
    <w:rsid w:val="006326B5"/>
    <w:rsid w:val="00633BFE"/>
    <w:rsid w:val="00633C59"/>
    <w:rsid w:val="00635425"/>
    <w:rsid w:val="00636122"/>
    <w:rsid w:val="0063694C"/>
    <w:rsid w:val="00636C8F"/>
    <w:rsid w:val="00637508"/>
    <w:rsid w:val="00641554"/>
    <w:rsid w:val="00641CFB"/>
    <w:rsid w:val="0064274A"/>
    <w:rsid w:val="006431C2"/>
    <w:rsid w:val="006433BF"/>
    <w:rsid w:val="0064342D"/>
    <w:rsid w:val="006441DD"/>
    <w:rsid w:val="006442F9"/>
    <w:rsid w:val="0064532D"/>
    <w:rsid w:val="00645AAC"/>
    <w:rsid w:val="00645CB0"/>
    <w:rsid w:val="00650D89"/>
    <w:rsid w:val="00652FCF"/>
    <w:rsid w:val="00656B29"/>
    <w:rsid w:val="0065794E"/>
    <w:rsid w:val="00657CCC"/>
    <w:rsid w:val="00657D66"/>
    <w:rsid w:val="0066355B"/>
    <w:rsid w:val="00664D8F"/>
    <w:rsid w:val="00664E81"/>
    <w:rsid w:val="00665811"/>
    <w:rsid w:val="00666C9B"/>
    <w:rsid w:val="006700D1"/>
    <w:rsid w:val="0067086C"/>
    <w:rsid w:val="00671E8F"/>
    <w:rsid w:val="00671F19"/>
    <w:rsid w:val="00672E43"/>
    <w:rsid w:val="006732E9"/>
    <w:rsid w:val="00675B30"/>
    <w:rsid w:val="006760D9"/>
    <w:rsid w:val="006805BF"/>
    <w:rsid w:val="00681712"/>
    <w:rsid w:val="00681790"/>
    <w:rsid w:val="0068239D"/>
    <w:rsid w:val="006833E5"/>
    <w:rsid w:val="00684477"/>
    <w:rsid w:val="006845FC"/>
    <w:rsid w:val="00685449"/>
    <w:rsid w:val="00685529"/>
    <w:rsid w:val="00686C43"/>
    <w:rsid w:val="006914F9"/>
    <w:rsid w:val="00691A4E"/>
    <w:rsid w:val="00693D6C"/>
    <w:rsid w:val="0069409E"/>
    <w:rsid w:val="00695599"/>
    <w:rsid w:val="00695711"/>
    <w:rsid w:val="00695779"/>
    <w:rsid w:val="006958DD"/>
    <w:rsid w:val="0069677F"/>
    <w:rsid w:val="006979EA"/>
    <w:rsid w:val="006A12F0"/>
    <w:rsid w:val="006A2B1C"/>
    <w:rsid w:val="006A56E7"/>
    <w:rsid w:val="006B0F36"/>
    <w:rsid w:val="006B10A5"/>
    <w:rsid w:val="006B1C1E"/>
    <w:rsid w:val="006C1A3E"/>
    <w:rsid w:val="006C2C91"/>
    <w:rsid w:val="006C3259"/>
    <w:rsid w:val="006C3926"/>
    <w:rsid w:val="006C3B9C"/>
    <w:rsid w:val="006C4497"/>
    <w:rsid w:val="006C58D0"/>
    <w:rsid w:val="006C778C"/>
    <w:rsid w:val="006C7E2F"/>
    <w:rsid w:val="006D0274"/>
    <w:rsid w:val="006D05A0"/>
    <w:rsid w:val="006D21FA"/>
    <w:rsid w:val="006D3473"/>
    <w:rsid w:val="006D394F"/>
    <w:rsid w:val="006D4656"/>
    <w:rsid w:val="006D532B"/>
    <w:rsid w:val="006D6EC5"/>
    <w:rsid w:val="006E0BE2"/>
    <w:rsid w:val="006E1CAD"/>
    <w:rsid w:val="006E2D8A"/>
    <w:rsid w:val="006E31E7"/>
    <w:rsid w:val="006E31F1"/>
    <w:rsid w:val="006E4445"/>
    <w:rsid w:val="006E66A7"/>
    <w:rsid w:val="006E70A2"/>
    <w:rsid w:val="006F03E3"/>
    <w:rsid w:val="006F0A6D"/>
    <w:rsid w:val="006F39D4"/>
    <w:rsid w:val="006F4A8F"/>
    <w:rsid w:val="006F50F9"/>
    <w:rsid w:val="006F6AD1"/>
    <w:rsid w:val="006F7D52"/>
    <w:rsid w:val="00700713"/>
    <w:rsid w:val="00700BE6"/>
    <w:rsid w:val="00700E8C"/>
    <w:rsid w:val="00701B6B"/>
    <w:rsid w:val="0070349A"/>
    <w:rsid w:val="00705578"/>
    <w:rsid w:val="00707A98"/>
    <w:rsid w:val="00712536"/>
    <w:rsid w:val="007137F0"/>
    <w:rsid w:val="00714224"/>
    <w:rsid w:val="00716716"/>
    <w:rsid w:val="00717995"/>
    <w:rsid w:val="0072013D"/>
    <w:rsid w:val="0072192C"/>
    <w:rsid w:val="0072301F"/>
    <w:rsid w:val="007249FC"/>
    <w:rsid w:val="00725734"/>
    <w:rsid w:val="00725E33"/>
    <w:rsid w:val="00727F6C"/>
    <w:rsid w:val="00732CB0"/>
    <w:rsid w:val="00732D25"/>
    <w:rsid w:val="00734787"/>
    <w:rsid w:val="0074023E"/>
    <w:rsid w:val="0074030D"/>
    <w:rsid w:val="00740AA7"/>
    <w:rsid w:val="00741FEB"/>
    <w:rsid w:val="00742B51"/>
    <w:rsid w:val="007438D0"/>
    <w:rsid w:val="00743945"/>
    <w:rsid w:val="00743CAF"/>
    <w:rsid w:val="00743DF4"/>
    <w:rsid w:val="007459D1"/>
    <w:rsid w:val="00746920"/>
    <w:rsid w:val="00746E02"/>
    <w:rsid w:val="00747303"/>
    <w:rsid w:val="0074770F"/>
    <w:rsid w:val="0075126C"/>
    <w:rsid w:val="007519BE"/>
    <w:rsid w:val="007551C6"/>
    <w:rsid w:val="00755CF4"/>
    <w:rsid w:val="007631D2"/>
    <w:rsid w:val="00764C55"/>
    <w:rsid w:val="0076523F"/>
    <w:rsid w:val="007661D2"/>
    <w:rsid w:val="00772222"/>
    <w:rsid w:val="00773FBE"/>
    <w:rsid w:val="007747B0"/>
    <w:rsid w:val="00774FE3"/>
    <w:rsid w:val="007750FE"/>
    <w:rsid w:val="007767C0"/>
    <w:rsid w:val="00780FF1"/>
    <w:rsid w:val="00782320"/>
    <w:rsid w:val="00782BA1"/>
    <w:rsid w:val="00783505"/>
    <w:rsid w:val="00783B3F"/>
    <w:rsid w:val="00783E04"/>
    <w:rsid w:val="007841B0"/>
    <w:rsid w:val="007844C7"/>
    <w:rsid w:val="007844F6"/>
    <w:rsid w:val="00784A17"/>
    <w:rsid w:val="00786815"/>
    <w:rsid w:val="00786A21"/>
    <w:rsid w:val="00786C31"/>
    <w:rsid w:val="0078796C"/>
    <w:rsid w:val="00791E0F"/>
    <w:rsid w:val="0079399C"/>
    <w:rsid w:val="00794DDB"/>
    <w:rsid w:val="00796A85"/>
    <w:rsid w:val="00796E44"/>
    <w:rsid w:val="007A1226"/>
    <w:rsid w:val="007A3958"/>
    <w:rsid w:val="007A4659"/>
    <w:rsid w:val="007A645A"/>
    <w:rsid w:val="007A6A22"/>
    <w:rsid w:val="007B0C63"/>
    <w:rsid w:val="007B148E"/>
    <w:rsid w:val="007B157F"/>
    <w:rsid w:val="007B2EA6"/>
    <w:rsid w:val="007B3405"/>
    <w:rsid w:val="007B58E0"/>
    <w:rsid w:val="007B6418"/>
    <w:rsid w:val="007C4E28"/>
    <w:rsid w:val="007C5780"/>
    <w:rsid w:val="007C588A"/>
    <w:rsid w:val="007C5C45"/>
    <w:rsid w:val="007C5E67"/>
    <w:rsid w:val="007C63B8"/>
    <w:rsid w:val="007D097C"/>
    <w:rsid w:val="007D3880"/>
    <w:rsid w:val="007D388A"/>
    <w:rsid w:val="007D6B50"/>
    <w:rsid w:val="007E03BE"/>
    <w:rsid w:val="007E14BE"/>
    <w:rsid w:val="007E189A"/>
    <w:rsid w:val="007E241D"/>
    <w:rsid w:val="007E2DC0"/>
    <w:rsid w:val="007E3857"/>
    <w:rsid w:val="007E3BA1"/>
    <w:rsid w:val="007E5B46"/>
    <w:rsid w:val="007E6CD6"/>
    <w:rsid w:val="007E6EC7"/>
    <w:rsid w:val="007E7965"/>
    <w:rsid w:val="007F0BCD"/>
    <w:rsid w:val="007F1E82"/>
    <w:rsid w:val="007F2F2A"/>
    <w:rsid w:val="007F3B57"/>
    <w:rsid w:val="007F3C69"/>
    <w:rsid w:val="007F7050"/>
    <w:rsid w:val="007F72D4"/>
    <w:rsid w:val="00801208"/>
    <w:rsid w:val="008027BE"/>
    <w:rsid w:val="008058E3"/>
    <w:rsid w:val="00807305"/>
    <w:rsid w:val="00807979"/>
    <w:rsid w:val="00810444"/>
    <w:rsid w:val="00810A04"/>
    <w:rsid w:val="00811212"/>
    <w:rsid w:val="00812D43"/>
    <w:rsid w:val="00816BEC"/>
    <w:rsid w:val="00817ED9"/>
    <w:rsid w:val="008215CA"/>
    <w:rsid w:val="00821828"/>
    <w:rsid w:val="0082195F"/>
    <w:rsid w:val="00825B56"/>
    <w:rsid w:val="00826D95"/>
    <w:rsid w:val="00827DE7"/>
    <w:rsid w:val="0083080A"/>
    <w:rsid w:val="00830CDC"/>
    <w:rsid w:val="00832976"/>
    <w:rsid w:val="00832AEC"/>
    <w:rsid w:val="008342E2"/>
    <w:rsid w:val="00834D16"/>
    <w:rsid w:val="0083553A"/>
    <w:rsid w:val="008369F6"/>
    <w:rsid w:val="00836C59"/>
    <w:rsid w:val="0084150C"/>
    <w:rsid w:val="008418E2"/>
    <w:rsid w:val="008453B7"/>
    <w:rsid w:val="008457CC"/>
    <w:rsid w:val="00845BA1"/>
    <w:rsid w:val="008472F6"/>
    <w:rsid w:val="00855B67"/>
    <w:rsid w:val="00855E24"/>
    <w:rsid w:val="00857E18"/>
    <w:rsid w:val="008602F1"/>
    <w:rsid w:val="00860925"/>
    <w:rsid w:val="00861B11"/>
    <w:rsid w:val="008626A7"/>
    <w:rsid w:val="008627FF"/>
    <w:rsid w:val="00864C2B"/>
    <w:rsid w:val="0086588E"/>
    <w:rsid w:val="008664DA"/>
    <w:rsid w:val="00867359"/>
    <w:rsid w:val="00870443"/>
    <w:rsid w:val="008715E5"/>
    <w:rsid w:val="00873158"/>
    <w:rsid w:val="00873327"/>
    <w:rsid w:val="00873F35"/>
    <w:rsid w:val="00875C45"/>
    <w:rsid w:val="008768E9"/>
    <w:rsid w:val="008769F8"/>
    <w:rsid w:val="008773BF"/>
    <w:rsid w:val="008831C6"/>
    <w:rsid w:val="008840A7"/>
    <w:rsid w:val="00886322"/>
    <w:rsid w:val="00886633"/>
    <w:rsid w:val="00887E6A"/>
    <w:rsid w:val="008908E8"/>
    <w:rsid w:val="008A11FD"/>
    <w:rsid w:val="008A38AC"/>
    <w:rsid w:val="008A48E3"/>
    <w:rsid w:val="008A5043"/>
    <w:rsid w:val="008A6490"/>
    <w:rsid w:val="008A64A4"/>
    <w:rsid w:val="008A64E0"/>
    <w:rsid w:val="008A66C1"/>
    <w:rsid w:val="008B0E69"/>
    <w:rsid w:val="008B18F5"/>
    <w:rsid w:val="008B250C"/>
    <w:rsid w:val="008B390C"/>
    <w:rsid w:val="008B4495"/>
    <w:rsid w:val="008B4D44"/>
    <w:rsid w:val="008B6D93"/>
    <w:rsid w:val="008B7EC8"/>
    <w:rsid w:val="008C0DED"/>
    <w:rsid w:val="008C0DFE"/>
    <w:rsid w:val="008C1F38"/>
    <w:rsid w:val="008C2C63"/>
    <w:rsid w:val="008C3BB6"/>
    <w:rsid w:val="008C43C5"/>
    <w:rsid w:val="008C451F"/>
    <w:rsid w:val="008C4568"/>
    <w:rsid w:val="008C46E8"/>
    <w:rsid w:val="008C539F"/>
    <w:rsid w:val="008C65F9"/>
    <w:rsid w:val="008D161B"/>
    <w:rsid w:val="008D365C"/>
    <w:rsid w:val="008D42C7"/>
    <w:rsid w:val="008D45FA"/>
    <w:rsid w:val="008D4ADF"/>
    <w:rsid w:val="008D5D60"/>
    <w:rsid w:val="008D6995"/>
    <w:rsid w:val="008D7AC1"/>
    <w:rsid w:val="008D7EBE"/>
    <w:rsid w:val="008E0A90"/>
    <w:rsid w:val="008E251F"/>
    <w:rsid w:val="008E4384"/>
    <w:rsid w:val="008E6899"/>
    <w:rsid w:val="008E72D8"/>
    <w:rsid w:val="008E7A0A"/>
    <w:rsid w:val="008E7AE6"/>
    <w:rsid w:val="008F0045"/>
    <w:rsid w:val="008F20B3"/>
    <w:rsid w:val="008F39C4"/>
    <w:rsid w:val="008F7147"/>
    <w:rsid w:val="0090052B"/>
    <w:rsid w:val="00900AF0"/>
    <w:rsid w:val="0090112A"/>
    <w:rsid w:val="009022CC"/>
    <w:rsid w:val="0090360F"/>
    <w:rsid w:val="00903CC6"/>
    <w:rsid w:val="009062AD"/>
    <w:rsid w:val="009070DB"/>
    <w:rsid w:val="0090713D"/>
    <w:rsid w:val="0091034F"/>
    <w:rsid w:val="0091037D"/>
    <w:rsid w:val="00914998"/>
    <w:rsid w:val="009157A2"/>
    <w:rsid w:val="009158CF"/>
    <w:rsid w:val="00915D06"/>
    <w:rsid w:val="0091624E"/>
    <w:rsid w:val="00921CA6"/>
    <w:rsid w:val="00922ACD"/>
    <w:rsid w:val="00923A5C"/>
    <w:rsid w:val="0092508A"/>
    <w:rsid w:val="009259BC"/>
    <w:rsid w:val="009271CD"/>
    <w:rsid w:val="009276A3"/>
    <w:rsid w:val="00931AF0"/>
    <w:rsid w:val="00932B2F"/>
    <w:rsid w:val="00932C4E"/>
    <w:rsid w:val="00932E30"/>
    <w:rsid w:val="0093328A"/>
    <w:rsid w:val="00934BF9"/>
    <w:rsid w:val="00935983"/>
    <w:rsid w:val="009363F7"/>
    <w:rsid w:val="00941DBD"/>
    <w:rsid w:val="009429F0"/>
    <w:rsid w:val="00942CD5"/>
    <w:rsid w:val="0094395E"/>
    <w:rsid w:val="00944433"/>
    <w:rsid w:val="00944B09"/>
    <w:rsid w:val="00950E38"/>
    <w:rsid w:val="00951F52"/>
    <w:rsid w:val="009525E1"/>
    <w:rsid w:val="00953060"/>
    <w:rsid w:val="0095336B"/>
    <w:rsid w:val="00953BB8"/>
    <w:rsid w:val="009547B2"/>
    <w:rsid w:val="00954ACC"/>
    <w:rsid w:val="00954C23"/>
    <w:rsid w:val="00955002"/>
    <w:rsid w:val="00956EDB"/>
    <w:rsid w:val="009572BF"/>
    <w:rsid w:val="00960574"/>
    <w:rsid w:val="00961312"/>
    <w:rsid w:val="00961BFB"/>
    <w:rsid w:val="00963597"/>
    <w:rsid w:val="0096621D"/>
    <w:rsid w:val="009668ED"/>
    <w:rsid w:val="00967456"/>
    <w:rsid w:val="00967E00"/>
    <w:rsid w:val="00970962"/>
    <w:rsid w:val="00970EF4"/>
    <w:rsid w:val="00971598"/>
    <w:rsid w:val="00971E96"/>
    <w:rsid w:val="00975462"/>
    <w:rsid w:val="00975ED3"/>
    <w:rsid w:val="00976F6E"/>
    <w:rsid w:val="009775F7"/>
    <w:rsid w:val="00981AEE"/>
    <w:rsid w:val="00982CB3"/>
    <w:rsid w:val="00984E48"/>
    <w:rsid w:val="00985426"/>
    <w:rsid w:val="009862F5"/>
    <w:rsid w:val="00990D5F"/>
    <w:rsid w:val="009953C8"/>
    <w:rsid w:val="009969CB"/>
    <w:rsid w:val="009A128F"/>
    <w:rsid w:val="009A25C7"/>
    <w:rsid w:val="009A2C28"/>
    <w:rsid w:val="009A68D8"/>
    <w:rsid w:val="009A7C81"/>
    <w:rsid w:val="009B0F59"/>
    <w:rsid w:val="009B1A21"/>
    <w:rsid w:val="009B2B17"/>
    <w:rsid w:val="009B2D2A"/>
    <w:rsid w:val="009B3253"/>
    <w:rsid w:val="009B59B5"/>
    <w:rsid w:val="009B5CD3"/>
    <w:rsid w:val="009B798A"/>
    <w:rsid w:val="009C0515"/>
    <w:rsid w:val="009C3662"/>
    <w:rsid w:val="009C3818"/>
    <w:rsid w:val="009C39F4"/>
    <w:rsid w:val="009C6726"/>
    <w:rsid w:val="009C6D59"/>
    <w:rsid w:val="009C774C"/>
    <w:rsid w:val="009D0A35"/>
    <w:rsid w:val="009D1000"/>
    <w:rsid w:val="009D1AAF"/>
    <w:rsid w:val="009D3662"/>
    <w:rsid w:val="009D43CA"/>
    <w:rsid w:val="009D5B84"/>
    <w:rsid w:val="009D5D2E"/>
    <w:rsid w:val="009E2839"/>
    <w:rsid w:val="009E2C96"/>
    <w:rsid w:val="009E3AFF"/>
    <w:rsid w:val="009E45CE"/>
    <w:rsid w:val="009E546B"/>
    <w:rsid w:val="009E66DF"/>
    <w:rsid w:val="009E71AA"/>
    <w:rsid w:val="009F1534"/>
    <w:rsid w:val="009F5F5F"/>
    <w:rsid w:val="009F70F4"/>
    <w:rsid w:val="009F7A37"/>
    <w:rsid w:val="00A01681"/>
    <w:rsid w:val="00A04A89"/>
    <w:rsid w:val="00A05755"/>
    <w:rsid w:val="00A0588E"/>
    <w:rsid w:val="00A06080"/>
    <w:rsid w:val="00A06877"/>
    <w:rsid w:val="00A10921"/>
    <w:rsid w:val="00A10F35"/>
    <w:rsid w:val="00A115D8"/>
    <w:rsid w:val="00A12B0D"/>
    <w:rsid w:val="00A146B4"/>
    <w:rsid w:val="00A15565"/>
    <w:rsid w:val="00A16064"/>
    <w:rsid w:val="00A175DF"/>
    <w:rsid w:val="00A17708"/>
    <w:rsid w:val="00A17D73"/>
    <w:rsid w:val="00A200BC"/>
    <w:rsid w:val="00A206E6"/>
    <w:rsid w:val="00A20750"/>
    <w:rsid w:val="00A233B7"/>
    <w:rsid w:val="00A23921"/>
    <w:rsid w:val="00A2490A"/>
    <w:rsid w:val="00A25BBA"/>
    <w:rsid w:val="00A305F1"/>
    <w:rsid w:val="00A3199F"/>
    <w:rsid w:val="00A326F8"/>
    <w:rsid w:val="00A32E25"/>
    <w:rsid w:val="00A34B1E"/>
    <w:rsid w:val="00A35542"/>
    <w:rsid w:val="00A4130E"/>
    <w:rsid w:val="00A41D37"/>
    <w:rsid w:val="00A42704"/>
    <w:rsid w:val="00A42CFD"/>
    <w:rsid w:val="00A43680"/>
    <w:rsid w:val="00A445F2"/>
    <w:rsid w:val="00A447F8"/>
    <w:rsid w:val="00A44D31"/>
    <w:rsid w:val="00A50C55"/>
    <w:rsid w:val="00A50F52"/>
    <w:rsid w:val="00A51A9D"/>
    <w:rsid w:val="00A52C08"/>
    <w:rsid w:val="00A536EC"/>
    <w:rsid w:val="00A53C5E"/>
    <w:rsid w:val="00A54934"/>
    <w:rsid w:val="00A554AB"/>
    <w:rsid w:val="00A555D9"/>
    <w:rsid w:val="00A55D98"/>
    <w:rsid w:val="00A55F6D"/>
    <w:rsid w:val="00A56BBE"/>
    <w:rsid w:val="00A63C2E"/>
    <w:rsid w:val="00A64236"/>
    <w:rsid w:val="00A65A63"/>
    <w:rsid w:val="00A66C3D"/>
    <w:rsid w:val="00A673D7"/>
    <w:rsid w:val="00A67941"/>
    <w:rsid w:val="00A67963"/>
    <w:rsid w:val="00A67C91"/>
    <w:rsid w:val="00A702CB"/>
    <w:rsid w:val="00A717E9"/>
    <w:rsid w:val="00A71DF6"/>
    <w:rsid w:val="00A72059"/>
    <w:rsid w:val="00A73376"/>
    <w:rsid w:val="00A733E9"/>
    <w:rsid w:val="00A757E0"/>
    <w:rsid w:val="00A75FBA"/>
    <w:rsid w:val="00A76D06"/>
    <w:rsid w:val="00A8053C"/>
    <w:rsid w:val="00A80968"/>
    <w:rsid w:val="00A80B00"/>
    <w:rsid w:val="00A81015"/>
    <w:rsid w:val="00A82B65"/>
    <w:rsid w:val="00A837F6"/>
    <w:rsid w:val="00A83B76"/>
    <w:rsid w:val="00A83DD3"/>
    <w:rsid w:val="00A85ACE"/>
    <w:rsid w:val="00A85B8F"/>
    <w:rsid w:val="00A85F43"/>
    <w:rsid w:val="00A862E6"/>
    <w:rsid w:val="00A87E40"/>
    <w:rsid w:val="00A908AF"/>
    <w:rsid w:val="00A90998"/>
    <w:rsid w:val="00A91475"/>
    <w:rsid w:val="00A927C3"/>
    <w:rsid w:val="00A934F4"/>
    <w:rsid w:val="00A93AAA"/>
    <w:rsid w:val="00A95B16"/>
    <w:rsid w:val="00A96FFD"/>
    <w:rsid w:val="00AB0311"/>
    <w:rsid w:val="00AB1255"/>
    <w:rsid w:val="00AB254A"/>
    <w:rsid w:val="00AB3428"/>
    <w:rsid w:val="00AB3A51"/>
    <w:rsid w:val="00AB4CEF"/>
    <w:rsid w:val="00AB6BC6"/>
    <w:rsid w:val="00AB723E"/>
    <w:rsid w:val="00AC0149"/>
    <w:rsid w:val="00AC07CA"/>
    <w:rsid w:val="00AC1F5B"/>
    <w:rsid w:val="00AC30A5"/>
    <w:rsid w:val="00AC4E8F"/>
    <w:rsid w:val="00AC4F32"/>
    <w:rsid w:val="00AC5A73"/>
    <w:rsid w:val="00AC7CC4"/>
    <w:rsid w:val="00AD06F3"/>
    <w:rsid w:val="00AD10DC"/>
    <w:rsid w:val="00AD2735"/>
    <w:rsid w:val="00AD3A48"/>
    <w:rsid w:val="00AD4512"/>
    <w:rsid w:val="00AD60E2"/>
    <w:rsid w:val="00AD6A17"/>
    <w:rsid w:val="00AD6B47"/>
    <w:rsid w:val="00AD6CD0"/>
    <w:rsid w:val="00AD7543"/>
    <w:rsid w:val="00AE000E"/>
    <w:rsid w:val="00AE15C5"/>
    <w:rsid w:val="00AE169A"/>
    <w:rsid w:val="00AE1CBF"/>
    <w:rsid w:val="00AE25F7"/>
    <w:rsid w:val="00AE30A7"/>
    <w:rsid w:val="00AE566E"/>
    <w:rsid w:val="00AE5BB6"/>
    <w:rsid w:val="00AE6C43"/>
    <w:rsid w:val="00AF292B"/>
    <w:rsid w:val="00AF3214"/>
    <w:rsid w:val="00AF339A"/>
    <w:rsid w:val="00AF3A6E"/>
    <w:rsid w:val="00AF54BA"/>
    <w:rsid w:val="00AF552C"/>
    <w:rsid w:val="00AF5665"/>
    <w:rsid w:val="00AF6ED7"/>
    <w:rsid w:val="00AF7FF0"/>
    <w:rsid w:val="00B0113F"/>
    <w:rsid w:val="00B017A0"/>
    <w:rsid w:val="00B03ACF"/>
    <w:rsid w:val="00B05BC1"/>
    <w:rsid w:val="00B05BE8"/>
    <w:rsid w:val="00B1156E"/>
    <w:rsid w:val="00B11BA6"/>
    <w:rsid w:val="00B121A1"/>
    <w:rsid w:val="00B12AE2"/>
    <w:rsid w:val="00B1464F"/>
    <w:rsid w:val="00B1537E"/>
    <w:rsid w:val="00B17850"/>
    <w:rsid w:val="00B203DD"/>
    <w:rsid w:val="00B24ABE"/>
    <w:rsid w:val="00B26171"/>
    <w:rsid w:val="00B2738E"/>
    <w:rsid w:val="00B30676"/>
    <w:rsid w:val="00B31FE8"/>
    <w:rsid w:val="00B344F1"/>
    <w:rsid w:val="00B36E13"/>
    <w:rsid w:val="00B37805"/>
    <w:rsid w:val="00B37BF8"/>
    <w:rsid w:val="00B40539"/>
    <w:rsid w:val="00B41B02"/>
    <w:rsid w:val="00B41C99"/>
    <w:rsid w:val="00B41E20"/>
    <w:rsid w:val="00B42EA1"/>
    <w:rsid w:val="00B4353B"/>
    <w:rsid w:val="00B438AC"/>
    <w:rsid w:val="00B449AC"/>
    <w:rsid w:val="00B467BE"/>
    <w:rsid w:val="00B46DC8"/>
    <w:rsid w:val="00B5002F"/>
    <w:rsid w:val="00B5044E"/>
    <w:rsid w:val="00B54ECC"/>
    <w:rsid w:val="00B55B15"/>
    <w:rsid w:val="00B56EE1"/>
    <w:rsid w:val="00B6015F"/>
    <w:rsid w:val="00B60DDC"/>
    <w:rsid w:val="00B62933"/>
    <w:rsid w:val="00B6425F"/>
    <w:rsid w:val="00B64F47"/>
    <w:rsid w:val="00B65F0D"/>
    <w:rsid w:val="00B66021"/>
    <w:rsid w:val="00B677B0"/>
    <w:rsid w:val="00B67A23"/>
    <w:rsid w:val="00B70DF7"/>
    <w:rsid w:val="00B711FE"/>
    <w:rsid w:val="00B72C5E"/>
    <w:rsid w:val="00B74902"/>
    <w:rsid w:val="00B75595"/>
    <w:rsid w:val="00B76318"/>
    <w:rsid w:val="00B77048"/>
    <w:rsid w:val="00B779AD"/>
    <w:rsid w:val="00B8212C"/>
    <w:rsid w:val="00B83A7C"/>
    <w:rsid w:val="00B84E12"/>
    <w:rsid w:val="00B8550B"/>
    <w:rsid w:val="00B85891"/>
    <w:rsid w:val="00B8610A"/>
    <w:rsid w:val="00B87D6B"/>
    <w:rsid w:val="00B903ED"/>
    <w:rsid w:val="00B92FF7"/>
    <w:rsid w:val="00B94828"/>
    <w:rsid w:val="00B95046"/>
    <w:rsid w:val="00B953AE"/>
    <w:rsid w:val="00B97A93"/>
    <w:rsid w:val="00B97EB3"/>
    <w:rsid w:val="00BA44A6"/>
    <w:rsid w:val="00BA62FB"/>
    <w:rsid w:val="00BA6D54"/>
    <w:rsid w:val="00BA7C70"/>
    <w:rsid w:val="00BB0AFA"/>
    <w:rsid w:val="00BB1591"/>
    <w:rsid w:val="00BB2635"/>
    <w:rsid w:val="00BB2E47"/>
    <w:rsid w:val="00BB3A98"/>
    <w:rsid w:val="00BB3B15"/>
    <w:rsid w:val="00BB4402"/>
    <w:rsid w:val="00BB65F7"/>
    <w:rsid w:val="00BB6F3F"/>
    <w:rsid w:val="00BB7FE1"/>
    <w:rsid w:val="00BC1B5D"/>
    <w:rsid w:val="00BC30C1"/>
    <w:rsid w:val="00BC479F"/>
    <w:rsid w:val="00BC6846"/>
    <w:rsid w:val="00BC68BA"/>
    <w:rsid w:val="00BC723F"/>
    <w:rsid w:val="00BD1C18"/>
    <w:rsid w:val="00BD3C7D"/>
    <w:rsid w:val="00BD4E26"/>
    <w:rsid w:val="00BD5360"/>
    <w:rsid w:val="00BD54CA"/>
    <w:rsid w:val="00BE116B"/>
    <w:rsid w:val="00BE196F"/>
    <w:rsid w:val="00BE1BF6"/>
    <w:rsid w:val="00BE3933"/>
    <w:rsid w:val="00BE39AD"/>
    <w:rsid w:val="00BE4A4D"/>
    <w:rsid w:val="00BE6C13"/>
    <w:rsid w:val="00BF29B2"/>
    <w:rsid w:val="00BF3660"/>
    <w:rsid w:val="00BF3E21"/>
    <w:rsid w:val="00BF547E"/>
    <w:rsid w:val="00BF60B5"/>
    <w:rsid w:val="00C0137A"/>
    <w:rsid w:val="00C05465"/>
    <w:rsid w:val="00C05E17"/>
    <w:rsid w:val="00C07B00"/>
    <w:rsid w:val="00C10490"/>
    <w:rsid w:val="00C10FF5"/>
    <w:rsid w:val="00C114DD"/>
    <w:rsid w:val="00C13CF8"/>
    <w:rsid w:val="00C14479"/>
    <w:rsid w:val="00C14BE4"/>
    <w:rsid w:val="00C150FC"/>
    <w:rsid w:val="00C1553A"/>
    <w:rsid w:val="00C17C2A"/>
    <w:rsid w:val="00C214B8"/>
    <w:rsid w:val="00C22815"/>
    <w:rsid w:val="00C23B64"/>
    <w:rsid w:val="00C23FD3"/>
    <w:rsid w:val="00C2435F"/>
    <w:rsid w:val="00C24624"/>
    <w:rsid w:val="00C25178"/>
    <w:rsid w:val="00C2557E"/>
    <w:rsid w:val="00C25E31"/>
    <w:rsid w:val="00C26271"/>
    <w:rsid w:val="00C26281"/>
    <w:rsid w:val="00C27324"/>
    <w:rsid w:val="00C320C3"/>
    <w:rsid w:val="00C32354"/>
    <w:rsid w:val="00C35926"/>
    <w:rsid w:val="00C3596B"/>
    <w:rsid w:val="00C35B43"/>
    <w:rsid w:val="00C36915"/>
    <w:rsid w:val="00C36BB5"/>
    <w:rsid w:val="00C430C3"/>
    <w:rsid w:val="00C4473C"/>
    <w:rsid w:val="00C44C03"/>
    <w:rsid w:val="00C456DB"/>
    <w:rsid w:val="00C459AA"/>
    <w:rsid w:val="00C46613"/>
    <w:rsid w:val="00C469D1"/>
    <w:rsid w:val="00C47C39"/>
    <w:rsid w:val="00C506E5"/>
    <w:rsid w:val="00C50B68"/>
    <w:rsid w:val="00C5146C"/>
    <w:rsid w:val="00C51861"/>
    <w:rsid w:val="00C5274B"/>
    <w:rsid w:val="00C53C46"/>
    <w:rsid w:val="00C55189"/>
    <w:rsid w:val="00C55BEA"/>
    <w:rsid w:val="00C55F89"/>
    <w:rsid w:val="00C5745A"/>
    <w:rsid w:val="00C57B16"/>
    <w:rsid w:val="00C61848"/>
    <w:rsid w:val="00C61C2F"/>
    <w:rsid w:val="00C646E8"/>
    <w:rsid w:val="00C64F90"/>
    <w:rsid w:val="00C66C85"/>
    <w:rsid w:val="00C6706D"/>
    <w:rsid w:val="00C71318"/>
    <w:rsid w:val="00C71C76"/>
    <w:rsid w:val="00C71F37"/>
    <w:rsid w:val="00C72FED"/>
    <w:rsid w:val="00C7300F"/>
    <w:rsid w:val="00C74E6B"/>
    <w:rsid w:val="00C755C7"/>
    <w:rsid w:val="00C75F99"/>
    <w:rsid w:val="00C76082"/>
    <w:rsid w:val="00C763A7"/>
    <w:rsid w:val="00C7685F"/>
    <w:rsid w:val="00C777A1"/>
    <w:rsid w:val="00C80AD3"/>
    <w:rsid w:val="00C81835"/>
    <w:rsid w:val="00C838B4"/>
    <w:rsid w:val="00C83E34"/>
    <w:rsid w:val="00C84666"/>
    <w:rsid w:val="00C848CC"/>
    <w:rsid w:val="00C857F6"/>
    <w:rsid w:val="00C85D41"/>
    <w:rsid w:val="00C8644D"/>
    <w:rsid w:val="00C86861"/>
    <w:rsid w:val="00C90674"/>
    <w:rsid w:val="00C9074B"/>
    <w:rsid w:val="00C909B5"/>
    <w:rsid w:val="00C9308F"/>
    <w:rsid w:val="00C93857"/>
    <w:rsid w:val="00C939A7"/>
    <w:rsid w:val="00C93B3B"/>
    <w:rsid w:val="00C93EEA"/>
    <w:rsid w:val="00C940DA"/>
    <w:rsid w:val="00C9589E"/>
    <w:rsid w:val="00C969C9"/>
    <w:rsid w:val="00C97EF8"/>
    <w:rsid w:val="00C97FA5"/>
    <w:rsid w:val="00CA001F"/>
    <w:rsid w:val="00CA1064"/>
    <w:rsid w:val="00CA240B"/>
    <w:rsid w:val="00CA2735"/>
    <w:rsid w:val="00CA56A3"/>
    <w:rsid w:val="00CA5C68"/>
    <w:rsid w:val="00CB0D7A"/>
    <w:rsid w:val="00CB6B7D"/>
    <w:rsid w:val="00CB729B"/>
    <w:rsid w:val="00CC0D9E"/>
    <w:rsid w:val="00CC11FF"/>
    <w:rsid w:val="00CC1A25"/>
    <w:rsid w:val="00CC2349"/>
    <w:rsid w:val="00CC28BE"/>
    <w:rsid w:val="00CC2A7E"/>
    <w:rsid w:val="00CC3BD8"/>
    <w:rsid w:val="00CC3E07"/>
    <w:rsid w:val="00CC4407"/>
    <w:rsid w:val="00CC60F6"/>
    <w:rsid w:val="00CC68BC"/>
    <w:rsid w:val="00CD1FDF"/>
    <w:rsid w:val="00CD335A"/>
    <w:rsid w:val="00CD3B82"/>
    <w:rsid w:val="00CD507B"/>
    <w:rsid w:val="00CD5B40"/>
    <w:rsid w:val="00CE0CDE"/>
    <w:rsid w:val="00CE155C"/>
    <w:rsid w:val="00CE2D1A"/>
    <w:rsid w:val="00CE2E5C"/>
    <w:rsid w:val="00CE4C08"/>
    <w:rsid w:val="00CE52CA"/>
    <w:rsid w:val="00CE5552"/>
    <w:rsid w:val="00CE5B5D"/>
    <w:rsid w:val="00CE5F86"/>
    <w:rsid w:val="00CE6339"/>
    <w:rsid w:val="00CE6FB3"/>
    <w:rsid w:val="00CF198B"/>
    <w:rsid w:val="00CF4097"/>
    <w:rsid w:val="00CF41C3"/>
    <w:rsid w:val="00CF4564"/>
    <w:rsid w:val="00CF6D25"/>
    <w:rsid w:val="00D00BCC"/>
    <w:rsid w:val="00D04A3C"/>
    <w:rsid w:val="00D04C3A"/>
    <w:rsid w:val="00D04DBA"/>
    <w:rsid w:val="00D05442"/>
    <w:rsid w:val="00D102AF"/>
    <w:rsid w:val="00D133AC"/>
    <w:rsid w:val="00D14F33"/>
    <w:rsid w:val="00D153DC"/>
    <w:rsid w:val="00D200B0"/>
    <w:rsid w:val="00D214CA"/>
    <w:rsid w:val="00D227DB"/>
    <w:rsid w:val="00D244DB"/>
    <w:rsid w:val="00D25BA0"/>
    <w:rsid w:val="00D261B2"/>
    <w:rsid w:val="00D30FE3"/>
    <w:rsid w:val="00D3185B"/>
    <w:rsid w:val="00D32DA0"/>
    <w:rsid w:val="00D342D1"/>
    <w:rsid w:val="00D344DA"/>
    <w:rsid w:val="00D345A6"/>
    <w:rsid w:val="00D34C57"/>
    <w:rsid w:val="00D36ECC"/>
    <w:rsid w:val="00D41EFB"/>
    <w:rsid w:val="00D44529"/>
    <w:rsid w:val="00D44C41"/>
    <w:rsid w:val="00D45B66"/>
    <w:rsid w:val="00D46D44"/>
    <w:rsid w:val="00D47760"/>
    <w:rsid w:val="00D47B1A"/>
    <w:rsid w:val="00D5415F"/>
    <w:rsid w:val="00D5420F"/>
    <w:rsid w:val="00D54ADA"/>
    <w:rsid w:val="00D565C9"/>
    <w:rsid w:val="00D56848"/>
    <w:rsid w:val="00D60367"/>
    <w:rsid w:val="00D6569E"/>
    <w:rsid w:val="00D6652C"/>
    <w:rsid w:val="00D6794D"/>
    <w:rsid w:val="00D70425"/>
    <w:rsid w:val="00D70697"/>
    <w:rsid w:val="00D70BFA"/>
    <w:rsid w:val="00D7130A"/>
    <w:rsid w:val="00D729D8"/>
    <w:rsid w:val="00D72D2A"/>
    <w:rsid w:val="00D72F42"/>
    <w:rsid w:val="00D73297"/>
    <w:rsid w:val="00D74809"/>
    <w:rsid w:val="00D748A6"/>
    <w:rsid w:val="00D74BAF"/>
    <w:rsid w:val="00D7513D"/>
    <w:rsid w:val="00D77462"/>
    <w:rsid w:val="00D80440"/>
    <w:rsid w:val="00D8056F"/>
    <w:rsid w:val="00D80A07"/>
    <w:rsid w:val="00D83296"/>
    <w:rsid w:val="00D83B5E"/>
    <w:rsid w:val="00D84B17"/>
    <w:rsid w:val="00D84E7F"/>
    <w:rsid w:val="00D866B6"/>
    <w:rsid w:val="00D91E61"/>
    <w:rsid w:val="00D94153"/>
    <w:rsid w:val="00D95B6D"/>
    <w:rsid w:val="00D97088"/>
    <w:rsid w:val="00D975D3"/>
    <w:rsid w:val="00D97D32"/>
    <w:rsid w:val="00DA5CAA"/>
    <w:rsid w:val="00DA5D1E"/>
    <w:rsid w:val="00DA6874"/>
    <w:rsid w:val="00DB0017"/>
    <w:rsid w:val="00DB265F"/>
    <w:rsid w:val="00DC0EE8"/>
    <w:rsid w:val="00DC4826"/>
    <w:rsid w:val="00DD05A9"/>
    <w:rsid w:val="00DD24F8"/>
    <w:rsid w:val="00DD332B"/>
    <w:rsid w:val="00DD4817"/>
    <w:rsid w:val="00DD4943"/>
    <w:rsid w:val="00DE01F2"/>
    <w:rsid w:val="00DE4F66"/>
    <w:rsid w:val="00DF148D"/>
    <w:rsid w:val="00DF2323"/>
    <w:rsid w:val="00DF2758"/>
    <w:rsid w:val="00DF47F4"/>
    <w:rsid w:val="00DF4F49"/>
    <w:rsid w:val="00DF5480"/>
    <w:rsid w:val="00DF54C7"/>
    <w:rsid w:val="00DF6211"/>
    <w:rsid w:val="00DF665F"/>
    <w:rsid w:val="00DF77B5"/>
    <w:rsid w:val="00E02ABB"/>
    <w:rsid w:val="00E06F15"/>
    <w:rsid w:val="00E12380"/>
    <w:rsid w:val="00E12E76"/>
    <w:rsid w:val="00E14746"/>
    <w:rsid w:val="00E14CE3"/>
    <w:rsid w:val="00E15AA4"/>
    <w:rsid w:val="00E163C5"/>
    <w:rsid w:val="00E207EF"/>
    <w:rsid w:val="00E20CAB"/>
    <w:rsid w:val="00E21F14"/>
    <w:rsid w:val="00E24EE5"/>
    <w:rsid w:val="00E33381"/>
    <w:rsid w:val="00E33BAE"/>
    <w:rsid w:val="00E353B3"/>
    <w:rsid w:val="00E3624F"/>
    <w:rsid w:val="00E3645B"/>
    <w:rsid w:val="00E37C05"/>
    <w:rsid w:val="00E4063D"/>
    <w:rsid w:val="00E42838"/>
    <w:rsid w:val="00E4405F"/>
    <w:rsid w:val="00E4515E"/>
    <w:rsid w:val="00E4787B"/>
    <w:rsid w:val="00E5110D"/>
    <w:rsid w:val="00E5346B"/>
    <w:rsid w:val="00E5409C"/>
    <w:rsid w:val="00E57EB9"/>
    <w:rsid w:val="00E60104"/>
    <w:rsid w:val="00E602BA"/>
    <w:rsid w:val="00E6072A"/>
    <w:rsid w:val="00E60E53"/>
    <w:rsid w:val="00E61EF2"/>
    <w:rsid w:val="00E71468"/>
    <w:rsid w:val="00E73BD8"/>
    <w:rsid w:val="00E74DDA"/>
    <w:rsid w:val="00E75648"/>
    <w:rsid w:val="00E756D9"/>
    <w:rsid w:val="00E77C0B"/>
    <w:rsid w:val="00E80FA4"/>
    <w:rsid w:val="00E810B0"/>
    <w:rsid w:val="00E81BD3"/>
    <w:rsid w:val="00E83570"/>
    <w:rsid w:val="00E93C92"/>
    <w:rsid w:val="00E9484E"/>
    <w:rsid w:val="00E9484F"/>
    <w:rsid w:val="00E96A83"/>
    <w:rsid w:val="00EA4286"/>
    <w:rsid w:val="00EA4930"/>
    <w:rsid w:val="00EA4B06"/>
    <w:rsid w:val="00EA60A6"/>
    <w:rsid w:val="00EA7164"/>
    <w:rsid w:val="00EB0C06"/>
    <w:rsid w:val="00EB2322"/>
    <w:rsid w:val="00EB59CF"/>
    <w:rsid w:val="00EC0614"/>
    <w:rsid w:val="00EC09C3"/>
    <w:rsid w:val="00EC0EC0"/>
    <w:rsid w:val="00EC1F24"/>
    <w:rsid w:val="00EC2584"/>
    <w:rsid w:val="00EC27EE"/>
    <w:rsid w:val="00EC2D33"/>
    <w:rsid w:val="00EC411A"/>
    <w:rsid w:val="00ED360B"/>
    <w:rsid w:val="00ED4F9B"/>
    <w:rsid w:val="00ED5B41"/>
    <w:rsid w:val="00ED75C0"/>
    <w:rsid w:val="00ED79E5"/>
    <w:rsid w:val="00ED7C6D"/>
    <w:rsid w:val="00EE0774"/>
    <w:rsid w:val="00EE1DC5"/>
    <w:rsid w:val="00EE273C"/>
    <w:rsid w:val="00EE3165"/>
    <w:rsid w:val="00EE3781"/>
    <w:rsid w:val="00EE3E5F"/>
    <w:rsid w:val="00EE4C35"/>
    <w:rsid w:val="00EE5916"/>
    <w:rsid w:val="00EE6C34"/>
    <w:rsid w:val="00EE7B8B"/>
    <w:rsid w:val="00EF1C09"/>
    <w:rsid w:val="00EF5323"/>
    <w:rsid w:val="00EF554A"/>
    <w:rsid w:val="00EF59F2"/>
    <w:rsid w:val="00F027DF"/>
    <w:rsid w:val="00F12223"/>
    <w:rsid w:val="00F12BF2"/>
    <w:rsid w:val="00F12E1E"/>
    <w:rsid w:val="00F130C4"/>
    <w:rsid w:val="00F16918"/>
    <w:rsid w:val="00F17DFB"/>
    <w:rsid w:val="00F17FA5"/>
    <w:rsid w:val="00F20C45"/>
    <w:rsid w:val="00F210CC"/>
    <w:rsid w:val="00F2216B"/>
    <w:rsid w:val="00F223EF"/>
    <w:rsid w:val="00F228B8"/>
    <w:rsid w:val="00F24C6B"/>
    <w:rsid w:val="00F24E3F"/>
    <w:rsid w:val="00F2544D"/>
    <w:rsid w:val="00F27156"/>
    <w:rsid w:val="00F27CB7"/>
    <w:rsid w:val="00F3268C"/>
    <w:rsid w:val="00F32931"/>
    <w:rsid w:val="00F332F9"/>
    <w:rsid w:val="00F338C6"/>
    <w:rsid w:val="00F34C68"/>
    <w:rsid w:val="00F352EE"/>
    <w:rsid w:val="00F359AD"/>
    <w:rsid w:val="00F35B39"/>
    <w:rsid w:val="00F3719A"/>
    <w:rsid w:val="00F37EC2"/>
    <w:rsid w:val="00F41873"/>
    <w:rsid w:val="00F42B04"/>
    <w:rsid w:val="00F43266"/>
    <w:rsid w:val="00F44BC6"/>
    <w:rsid w:val="00F4682F"/>
    <w:rsid w:val="00F51DA0"/>
    <w:rsid w:val="00F51E3F"/>
    <w:rsid w:val="00F52695"/>
    <w:rsid w:val="00F52B07"/>
    <w:rsid w:val="00F53304"/>
    <w:rsid w:val="00F55044"/>
    <w:rsid w:val="00F555AE"/>
    <w:rsid w:val="00F614FC"/>
    <w:rsid w:val="00F61C6F"/>
    <w:rsid w:val="00F6228E"/>
    <w:rsid w:val="00F6324C"/>
    <w:rsid w:val="00F64323"/>
    <w:rsid w:val="00F664CD"/>
    <w:rsid w:val="00F70FC1"/>
    <w:rsid w:val="00F727DA"/>
    <w:rsid w:val="00F74ACA"/>
    <w:rsid w:val="00F76460"/>
    <w:rsid w:val="00F77F4B"/>
    <w:rsid w:val="00F804CF"/>
    <w:rsid w:val="00F83B67"/>
    <w:rsid w:val="00F85BB1"/>
    <w:rsid w:val="00F91128"/>
    <w:rsid w:val="00F911C3"/>
    <w:rsid w:val="00F9216C"/>
    <w:rsid w:val="00F92948"/>
    <w:rsid w:val="00F929D8"/>
    <w:rsid w:val="00F936AE"/>
    <w:rsid w:val="00F94537"/>
    <w:rsid w:val="00F950E7"/>
    <w:rsid w:val="00F95372"/>
    <w:rsid w:val="00F95662"/>
    <w:rsid w:val="00F956FF"/>
    <w:rsid w:val="00F9730D"/>
    <w:rsid w:val="00FA0EA9"/>
    <w:rsid w:val="00FA1C4A"/>
    <w:rsid w:val="00FA2766"/>
    <w:rsid w:val="00FA4BF8"/>
    <w:rsid w:val="00FA5E68"/>
    <w:rsid w:val="00FA76F3"/>
    <w:rsid w:val="00FB5F26"/>
    <w:rsid w:val="00FB6582"/>
    <w:rsid w:val="00FB6ACD"/>
    <w:rsid w:val="00FB728B"/>
    <w:rsid w:val="00FB7327"/>
    <w:rsid w:val="00FC044D"/>
    <w:rsid w:val="00FC19F3"/>
    <w:rsid w:val="00FC1AFB"/>
    <w:rsid w:val="00FC2CC3"/>
    <w:rsid w:val="00FC4163"/>
    <w:rsid w:val="00FC4878"/>
    <w:rsid w:val="00FC776C"/>
    <w:rsid w:val="00FC7CA5"/>
    <w:rsid w:val="00FD0401"/>
    <w:rsid w:val="00FD0AB4"/>
    <w:rsid w:val="00FD1AF6"/>
    <w:rsid w:val="00FD4117"/>
    <w:rsid w:val="00FD7073"/>
    <w:rsid w:val="00FE04F2"/>
    <w:rsid w:val="00FE10B1"/>
    <w:rsid w:val="00FE19B0"/>
    <w:rsid w:val="00FE1BA3"/>
    <w:rsid w:val="00FE3862"/>
    <w:rsid w:val="00FE3BFF"/>
    <w:rsid w:val="00FE5DFD"/>
    <w:rsid w:val="00FE6074"/>
    <w:rsid w:val="00FE6817"/>
    <w:rsid w:val="00FE6B7F"/>
    <w:rsid w:val="00FE7765"/>
    <w:rsid w:val="00FF377C"/>
    <w:rsid w:val="00FF4CC6"/>
    <w:rsid w:val="00FF570F"/>
    <w:rsid w:val="00FF64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05CBFB"/>
  <w15:docId w15:val="{70DC4AB6-2941-4356-8FAC-A05580415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1"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qFormat="1"/>
    <w:lsdException w:name="heading 5" w:uiPriority="0" w:qFormat="1"/>
    <w:lsdException w:name="heading 6" w:uiPriority="0"/>
    <w:lsdException w:name="heading 7" w:semiHidden="1" w:uiPriority="0" w:unhideWhenUsed="1"/>
    <w:lsdException w:name="heading 8" w:semiHidden="1" w:uiPriority="0" w:unhideWhenUsed="1"/>
    <w:lsdException w:name="heading 9" w:semiHidden="1" w:uiPriority="0"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iPriority="99"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lsdException w:name="List 2" w:locked="1" w:semiHidden="1" w:unhideWhenUsed="1"/>
    <w:lsdException w:name="List 3" w:locked="1" w:semiHidden="1" w:unhideWhenUsed="1"/>
    <w:lsdException w:name="List 4" w:locked="1" w:semiHidden="1"/>
    <w:lsdException w:name="List 5" w:locked="1" w:semiHidden="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lsdException w:name="Date" w:locked="1" w:semiHidden="1"/>
    <w:lsdException w:name="Body Text First Indent" w:locked="1" w:semiHidden="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iPriority="99"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iPriority="0" w:unhideWhenUsed="1"/>
    <w:lsdException w:name="HTML Bottom of Form" w:locked="1" w:semiHidden="1" w:uiPriority="0"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iPriority="0" w:unhideWhenUsed="1"/>
    <w:lsdException w:name="annotation subject" w:locked="1" w:semiHidden="1" w:uiPriority="0" w:unhideWhenUsed="1"/>
    <w:lsdException w:name="No List" w:locked="1" w:semiHidden="1" w:uiPriority="99"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semiHidden="1" w:uiPriority="0" w:unhideWhenUsed="1"/>
    <w:lsdException w:name="Table Grid" w:uiPriority="39"/>
    <w:lsdException w:name="Table Theme" w:locked="1" w:semiHidden="1" w:uiPriority="0"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semiHidden/>
    <w:qFormat/>
    <w:rsid w:val="0004206E"/>
    <w:pPr>
      <w:spacing w:before="240"/>
      <w:ind w:left="851"/>
    </w:pPr>
    <w:rPr>
      <w:rFonts w:ascii="Arial" w:hAnsi="Arial" w:cs="Arial"/>
      <w:sz w:val="24"/>
      <w:szCs w:val="24"/>
    </w:rPr>
  </w:style>
  <w:style w:type="paragraph" w:styleId="Heading1">
    <w:name w:val="heading 1"/>
    <w:basedOn w:val="Normal"/>
    <w:next w:val="BodyText"/>
    <w:link w:val="Heading1Char"/>
    <w:autoRedefine/>
    <w:uiPriority w:val="1"/>
    <w:qFormat/>
    <w:rsid w:val="001B69F3"/>
    <w:pPr>
      <w:keepNext/>
      <w:numPr>
        <w:numId w:val="11"/>
      </w:numPr>
      <w:spacing w:after="300"/>
      <w:outlineLvl w:val="0"/>
    </w:pPr>
    <w:rPr>
      <w:b/>
      <w:bCs/>
      <w:color w:val="F3901D"/>
      <w:kern w:val="32"/>
      <w:sz w:val="30"/>
      <w:szCs w:val="30"/>
    </w:rPr>
  </w:style>
  <w:style w:type="paragraph" w:styleId="Heading2">
    <w:name w:val="heading 2"/>
    <w:basedOn w:val="Normal"/>
    <w:next w:val="BodyText"/>
    <w:link w:val="Heading2Char"/>
    <w:autoRedefine/>
    <w:uiPriority w:val="1"/>
    <w:qFormat/>
    <w:rsid w:val="00D244DB"/>
    <w:pPr>
      <w:keepNext/>
      <w:numPr>
        <w:ilvl w:val="1"/>
        <w:numId w:val="11"/>
      </w:numPr>
      <w:spacing w:before="0" w:after="220"/>
      <w:ind w:left="0" w:firstLine="0"/>
      <w:outlineLvl w:val="1"/>
    </w:pPr>
    <w:rPr>
      <w:rFonts w:ascii="Arial Bold" w:hAnsi="Arial Bold"/>
      <w:b/>
      <w:bCs/>
      <w:color w:val="F68B33" w:themeColor="accent2"/>
      <w:sz w:val="22"/>
      <w:szCs w:val="22"/>
    </w:rPr>
  </w:style>
  <w:style w:type="paragraph" w:styleId="Heading3">
    <w:name w:val="heading 3"/>
    <w:basedOn w:val="Normal"/>
    <w:next w:val="BodyText"/>
    <w:link w:val="Heading3Char"/>
    <w:uiPriority w:val="1"/>
    <w:qFormat/>
    <w:rsid w:val="004C0F98"/>
    <w:pPr>
      <w:keepNext/>
      <w:keepLines/>
      <w:numPr>
        <w:ilvl w:val="2"/>
        <w:numId w:val="11"/>
      </w:numPr>
      <w:spacing w:before="0" w:after="220"/>
      <w:outlineLvl w:val="2"/>
    </w:pPr>
    <w:rPr>
      <w:b/>
      <w:bCs/>
      <w:color w:val="F3901D"/>
      <w:sz w:val="22"/>
      <w:szCs w:val="22"/>
    </w:rPr>
  </w:style>
  <w:style w:type="paragraph" w:styleId="Heading4">
    <w:name w:val="heading 4"/>
    <w:basedOn w:val="BodyText"/>
    <w:next w:val="BodyText"/>
    <w:link w:val="Heading4Char"/>
    <w:autoRedefine/>
    <w:uiPriority w:val="1"/>
    <w:qFormat/>
    <w:rsid w:val="004C0F98"/>
    <w:pPr>
      <w:keepNext/>
      <w:keepLines/>
      <w:outlineLvl w:val="3"/>
    </w:pPr>
    <w:rPr>
      <w:iCs/>
      <w:color w:val="F3901D" w:themeColor="accent5"/>
    </w:rPr>
  </w:style>
  <w:style w:type="paragraph" w:styleId="Heading5">
    <w:name w:val="heading 5"/>
    <w:basedOn w:val="Normal"/>
    <w:next w:val="Normal"/>
    <w:link w:val="Heading5Char"/>
    <w:uiPriority w:val="1"/>
    <w:semiHidden/>
    <w:qFormat/>
    <w:rsid w:val="004C0F98"/>
    <w:pPr>
      <w:spacing w:before="120"/>
      <w:ind w:left="0"/>
      <w:outlineLvl w:val="4"/>
    </w:pPr>
  </w:style>
  <w:style w:type="paragraph" w:styleId="Heading6">
    <w:name w:val="heading 6"/>
    <w:basedOn w:val="Normal"/>
    <w:next w:val="Normal"/>
    <w:link w:val="Heading6Char"/>
    <w:uiPriority w:val="1"/>
    <w:semiHidden/>
    <w:rsid w:val="004C0F98"/>
    <w:pPr>
      <w:spacing w:after="60"/>
      <w:ind w:left="0"/>
      <w:outlineLvl w:val="5"/>
    </w:pPr>
    <w:rPr>
      <w:rFonts w:ascii="Times New Roman" w:hAnsi="Times New Roman" w:cs="Times New Roman"/>
      <w:b/>
      <w:bCs/>
      <w:sz w:val="22"/>
      <w:szCs w:val="22"/>
    </w:rPr>
  </w:style>
  <w:style w:type="paragraph" w:styleId="Heading7">
    <w:name w:val="heading 7"/>
    <w:basedOn w:val="Normal"/>
    <w:next w:val="Normal"/>
    <w:link w:val="Heading7Char"/>
    <w:uiPriority w:val="1"/>
    <w:semiHidden/>
    <w:rsid w:val="004C0F98"/>
    <w:pPr>
      <w:spacing w:after="60"/>
      <w:ind w:left="0"/>
      <w:outlineLvl w:val="6"/>
    </w:pPr>
    <w:rPr>
      <w:rFonts w:ascii="Times New Roman" w:hAnsi="Times New Roman" w:cs="Times New Roman"/>
    </w:rPr>
  </w:style>
  <w:style w:type="paragraph" w:styleId="Heading8">
    <w:name w:val="heading 8"/>
    <w:basedOn w:val="Normal"/>
    <w:next w:val="Normal"/>
    <w:link w:val="Heading8Char"/>
    <w:uiPriority w:val="1"/>
    <w:semiHidden/>
    <w:rsid w:val="004C0F98"/>
    <w:pPr>
      <w:spacing w:after="60"/>
      <w:ind w:left="0"/>
      <w:outlineLvl w:val="7"/>
    </w:pPr>
    <w:rPr>
      <w:rFonts w:ascii="Times New Roman" w:hAnsi="Times New Roman" w:cs="Times New Roman"/>
      <w:i/>
      <w:iCs/>
    </w:rPr>
  </w:style>
  <w:style w:type="paragraph" w:styleId="Heading9">
    <w:name w:val="heading 9"/>
    <w:basedOn w:val="Normal"/>
    <w:next w:val="Normal"/>
    <w:link w:val="Heading9Char"/>
    <w:uiPriority w:val="1"/>
    <w:semiHidden/>
    <w:rsid w:val="004C0F98"/>
    <w:pPr>
      <w:spacing w:after="60"/>
      <w:ind w:left="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1B69F3"/>
    <w:rPr>
      <w:rFonts w:ascii="Arial" w:hAnsi="Arial" w:cs="Arial"/>
      <w:b/>
      <w:bCs/>
      <w:color w:val="F3901D"/>
      <w:kern w:val="32"/>
      <w:sz w:val="30"/>
      <w:szCs w:val="30"/>
    </w:rPr>
  </w:style>
  <w:style w:type="character" w:customStyle="1" w:styleId="Heading2Char">
    <w:name w:val="Heading 2 Char"/>
    <w:basedOn w:val="DefaultParagraphFont"/>
    <w:link w:val="Heading2"/>
    <w:uiPriority w:val="1"/>
    <w:locked/>
    <w:rsid w:val="00D244DB"/>
    <w:rPr>
      <w:rFonts w:ascii="Arial Bold" w:hAnsi="Arial Bold" w:cs="Arial"/>
      <w:b/>
      <w:bCs/>
      <w:color w:val="F68B33" w:themeColor="accent2"/>
      <w:sz w:val="22"/>
      <w:szCs w:val="22"/>
    </w:rPr>
  </w:style>
  <w:style w:type="character" w:customStyle="1" w:styleId="Heading3Char">
    <w:name w:val="Heading 3 Char"/>
    <w:basedOn w:val="DefaultParagraphFont"/>
    <w:link w:val="Heading3"/>
    <w:uiPriority w:val="1"/>
    <w:locked/>
    <w:rsid w:val="004C0F98"/>
    <w:rPr>
      <w:rFonts w:ascii="Arial" w:hAnsi="Arial" w:cs="Arial"/>
      <w:b/>
      <w:bCs/>
      <w:color w:val="F3901D"/>
      <w:sz w:val="22"/>
      <w:szCs w:val="22"/>
    </w:rPr>
  </w:style>
  <w:style w:type="character" w:customStyle="1" w:styleId="Heading4Char">
    <w:name w:val="Heading 4 Char"/>
    <w:basedOn w:val="DefaultParagraphFont"/>
    <w:link w:val="Heading4"/>
    <w:uiPriority w:val="1"/>
    <w:locked/>
    <w:rsid w:val="004C0F98"/>
    <w:rPr>
      <w:rFonts w:ascii="Arial" w:hAnsi="Arial" w:cs="Arial"/>
      <w:iCs/>
      <w:color w:val="F3901D" w:themeColor="accent5"/>
      <w:sz w:val="22"/>
      <w:szCs w:val="22"/>
    </w:rPr>
  </w:style>
  <w:style w:type="character" w:customStyle="1" w:styleId="Heading5Char">
    <w:name w:val="Heading 5 Char"/>
    <w:basedOn w:val="DefaultParagraphFont"/>
    <w:link w:val="Heading5"/>
    <w:uiPriority w:val="1"/>
    <w:semiHidden/>
    <w:locked/>
    <w:rsid w:val="004C0F98"/>
    <w:rPr>
      <w:rFonts w:ascii="Arial" w:hAnsi="Arial" w:cs="Arial"/>
      <w:sz w:val="24"/>
      <w:szCs w:val="24"/>
    </w:rPr>
  </w:style>
  <w:style w:type="character" w:customStyle="1" w:styleId="Heading6Char">
    <w:name w:val="Heading 6 Char"/>
    <w:basedOn w:val="DefaultParagraphFont"/>
    <w:link w:val="Heading6"/>
    <w:uiPriority w:val="1"/>
    <w:semiHidden/>
    <w:locked/>
    <w:rsid w:val="004C0F98"/>
    <w:rPr>
      <w:b/>
      <w:bCs/>
      <w:sz w:val="22"/>
      <w:szCs w:val="22"/>
    </w:rPr>
  </w:style>
  <w:style w:type="character" w:customStyle="1" w:styleId="Heading7Char">
    <w:name w:val="Heading 7 Char"/>
    <w:basedOn w:val="DefaultParagraphFont"/>
    <w:link w:val="Heading7"/>
    <w:uiPriority w:val="1"/>
    <w:semiHidden/>
    <w:locked/>
    <w:rsid w:val="004C0F98"/>
    <w:rPr>
      <w:sz w:val="24"/>
      <w:szCs w:val="24"/>
    </w:rPr>
  </w:style>
  <w:style w:type="character" w:customStyle="1" w:styleId="Heading8Char">
    <w:name w:val="Heading 8 Char"/>
    <w:basedOn w:val="DefaultParagraphFont"/>
    <w:link w:val="Heading8"/>
    <w:uiPriority w:val="1"/>
    <w:semiHidden/>
    <w:locked/>
    <w:rsid w:val="004C0F98"/>
    <w:rPr>
      <w:i/>
      <w:iCs/>
      <w:sz w:val="24"/>
      <w:szCs w:val="24"/>
    </w:rPr>
  </w:style>
  <w:style w:type="character" w:customStyle="1" w:styleId="Heading9Char">
    <w:name w:val="Heading 9 Char"/>
    <w:basedOn w:val="DefaultParagraphFont"/>
    <w:link w:val="Heading9"/>
    <w:uiPriority w:val="1"/>
    <w:semiHidden/>
    <w:locked/>
    <w:rsid w:val="004C0F98"/>
    <w:rPr>
      <w:rFonts w:ascii="Arial" w:hAnsi="Arial" w:cs="Arial"/>
      <w:sz w:val="22"/>
      <w:szCs w:val="22"/>
    </w:rPr>
  </w:style>
  <w:style w:type="paragraph" w:styleId="BalloonText">
    <w:name w:val="Balloon Text"/>
    <w:basedOn w:val="Normal"/>
    <w:link w:val="BalloonTextChar"/>
    <w:semiHidden/>
    <w:rsid w:val="008A5043"/>
    <w:rPr>
      <w:rFonts w:ascii="Tahoma" w:hAnsi="Tahoma" w:cs="Tahoma"/>
      <w:sz w:val="16"/>
      <w:szCs w:val="16"/>
    </w:rPr>
  </w:style>
  <w:style w:type="character" w:customStyle="1" w:styleId="BalloonTextChar">
    <w:name w:val="Balloon Text Char"/>
    <w:basedOn w:val="DefaultParagraphFont"/>
    <w:link w:val="BalloonText"/>
    <w:semiHidden/>
    <w:locked/>
    <w:rsid w:val="008A5043"/>
    <w:rPr>
      <w:rFonts w:cs="Times New Roman"/>
      <w:sz w:val="2"/>
      <w:szCs w:val="2"/>
      <w:lang w:val="en-AU" w:eastAsia="en-AU"/>
    </w:rPr>
  </w:style>
  <w:style w:type="character" w:styleId="Hyperlink">
    <w:name w:val="Hyperlink"/>
    <w:basedOn w:val="DefaultParagraphFont"/>
    <w:uiPriority w:val="99"/>
    <w:rsid w:val="009B0F59"/>
    <w:rPr>
      <w:rFonts w:cs="Times New Roman"/>
      <w:color w:val="0000FF"/>
      <w:u w:val="single"/>
    </w:rPr>
  </w:style>
  <w:style w:type="paragraph" w:styleId="Header">
    <w:name w:val="header"/>
    <w:basedOn w:val="Normal"/>
    <w:link w:val="HeaderChar"/>
    <w:uiPriority w:val="7"/>
    <w:rsid w:val="008A5043"/>
    <w:pPr>
      <w:tabs>
        <w:tab w:val="center" w:pos="4153"/>
        <w:tab w:val="right" w:pos="8306"/>
      </w:tabs>
      <w:ind w:left="0"/>
    </w:pPr>
    <w:rPr>
      <w:noProof/>
      <w:color w:val="6A737B"/>
      <w:sz w:val="22"/>
      <w:szCs w:val="22"/>
      <w:lang w:val="en-US" w:eastAsia="en-US"/>
    </w:rPr>
  </w:style>
  <w:style w:type="character" w:customStyle="1" w:styleId="HeaderChar">
    <w:name w:val="Header Char"/>
    <w:basedOn w:val="DefaultParagraphFont"/>
    <w:link w:val="Header"/>
    <w:uiPriority w:val="7"/>
    <w:locked/>
    <w:rsid w:val="00E602BA"/>
    <w:rPr>
      <w:rFonts w:ascii="Arial" w:hAnsi="Arial" w:cs="Arial"/>
      <w:noProof/>
      <w:color w:val="6A737B"/>
      <w:sz w:val="22"/>
      <w:szCs w:val="22"/>
      <w:lang w:val="en-US" w:eastAsia="en-US"/>
    </w:rPr>
  </w:style>
  <w:style w:type="paragraph" w:styleId="Footer">
    <w:name w:val="footer"/>
    <w:basedOn w:val="Normal"/>
    <w:link w:val="FooterChar"/>
    <w:semiHidden/>
    <w:locked/>
    <w:rsid w:val="006F7D52"/>
    <w:pPr>
      <w:tabs>
        <w:tab w:val="center" w:pos="4680"/>
        <w:tab w:val="right" w:pos="9360"/>
      </w:tabs>
      <w:spacing w:before="0"/>
    </w:pPr>
  </w:style>
  <w:style w:type="character" w:customStyle="1" w:styleId="FooterChar">
    <w:name w:val="Footer Char"/>
    <w:basedOn w:val="DefaultParagraphFont"/>
    <w:link w:val="Footer"/>
    <w:semiHidden/>
    <w:rsid w:val="002040CB"/>
    <w:rPr>
      <w:rFonts w:ascii="Arial" w:hAnsi="Arial" w:cs="Arial"/>
      <w:sz w:val="24"/>
      <w:szCs w:val="24"/>
    </w:rPr>
  </w:style>
  <w:style w:type="character" w:styleId="PageNumber">
    <w:name w:val="page number"/>
    <w:basedOn w:val="DefaultParagraphFont"/>
    <w:uiPriority w:val="1"/>
    <w:semiHidden/>
    <w:rsid w:val="008A5043"/>
    <w:rPr>
      <w:rFonts w:cs="Times New Roman"/>
    </w:rPr>
  </w:style>
  <w:style w:type="paragraph" w:customStyle="1" w:styleId="Sidebartext">
    <w:name w:val="Sidebar text"/>
    <w:basedOn w:val="Normal"/>
    <w:uiPriority w:val="1"/>
    <w:semiHidden/>
    <w:rsid w:val="008A5043"/>
    <w:pPr>
      <w:spacing w:before="0"/>
      <w:ind w:left="0"/>
    </w:pPr>
  </w:style>
  <w:style w:type="paragraph" w:styleId="EndnoteText">
    <w:name w:val="endnote text"/>
    <w:basedOn w:val="Normal"/>
    <w:link w:val="EndnoteTextChar"/>
    <w:semiHidden/>
    <w:rsid w:val="008A5043"/>
  </w:style>
  <w:style w:type="character" w:customStyle="1" w:styleId="EndnoteTextChar">
    <w:name w:val="Endnote Text Char"/>
    <w:basedOn w:val="DefaultParagraphFont"/>
    <w:link w:val="EndnoteText"/>
    <w:semiHidden/>
    <w:locked/>
    <w:rsid w:val="008A5043"/>
    <w:rPr>
      <w:rFonts w:ascii="Arial" w:hAnsi="Arial" w:cs="Arial"/>
      <w:sz w:val="20"/>
      <w:szCs w:val="20"/>
      <w:lang w:val="en-AU" w:eastAsia="en-AU"/>
    </w:rPr>
  </w:style>
  <w:style w:type="character" w:styleId="EndnoteReference">
    <w:name w:val="endnote reference"/>
    <w:basedOn w:val="DefaultParagraphFont"/>
    <w:semiHidden/>
    <w:rsid w:val="008A5043"/>
    <w:rPr>
      <w:rFonts w:cs="Times New Roman"/>
      <w:vertAlign w:val="superscript"/>
    </w:rPr>
  </w:style>
  <w:style w:type="paragraph" w:customStyle="1" w:styleId="Endnote">
    <w:name w:val="Endnote"/>
    <w:basedOn w:val="EndnoteText"/>
    <w:uiPriority w:val="1"/>
    <w:semiHidden/>
    <w:rsid w:val="008A5043"/>
    <w:pPr>
      <w:ind w:left="360" w:hanging="360"/>
    </w:pPr>
  </w:style>
  <w:style w:type="character" w:styleId="Emphasis">
    <w:name w:val="Emphasis"/>
    <w:basedOn w:val="DefaultParagraphFont"/>
    <w:uiPriority w:val="1"/>
    <w:semiHidden/>
    <w:qFormat/>
    <w:rsid w:val="008A5043"/>
    <w:rPr>
      <w:rFonts w:cs="Times New Roman"/>
      <w:i/>
      <w:iCs/>
    </w:rPr>
  </w:style>
  <w:style w:type="paragraph" w:styleId="Revision">
    <w:name w:val="Revision"/>
    <w:hidden/>
    <w:semiHidden/>
    <w:rsid w:val="008A5043"/>
    <w:rPr>
      <w:rFonts w:ascii="Arial" w:hAnsi="Arial" w:cs="Arial"/>
      <w:sz w:val="24"/>
      <w:szCs w:val="24"/>
    </w:rPr>
  </w:style>
  <w:style w:type="character" w:styleId="FollowedHyperlink">
    <w:name w:val="FollowedHyperlink"/>
    <w:basedOn w:val="DefaultParagraphFont"/>
    <w:uiPriority w:val="1"/>
    <w:semiHidden/>
    <w:rsid w:val="008A5043"/>
    <w:rPr>
      <w:rFonts w:cs="Times New Roman"/>
      <w:color w:val="800080"/>
      <w:u w:val="single"/>
    </w:rPr>
  </w:style>
  <w:style w:type="paragraph" w:styleId="Title">
    <w:name w:val="Title"/>
    <w:basedOn w:val="Normal"/>
    <w:link w:val="TitleChar"/>
    <w:uiPriority w:val="1"/>
    <w:semiHidden/>
    <w:qFormat/>
    <w:rsid w:val="008A5043"/>
    <w:pPr>
      <w:spacing w:after="60"/>
      <w:jc w:val="center"/>
      <w:outlineLvl w:val="0"/>
    </w:pPr>
    <w:rPr>
      <w:b/>
      <w:bCs/>
      <w:kern w:val="28"/>
      <w:sz w:val="32"/>
      <w:szCs w:val="32"/>
    </w:rPr>
  </w:style>
  <w:style w:type="character" w:customStyle="1" w:styleId="TitleChar">
    <w:name w:val="Title Char"/>
    <w:basedOn w:val="DefaultParagraphFont"/>
    <w:link w:val="Title"/>
    <w:uiPriority w:val="1"/>
    <w:semiHidden/>
    <w:locked/>
    <w:rsid w:val="009B798A"/>
    <w:rPr>
      <w:rFonts w:ascii="Arial" w:hAnsi="Arial" w:cs="Arial"/>
      <w:b/>
      <w:bCs/>
      <w:kern w:val="28"/>
      <w:sz w:val="32"/>
      <w:szCs w:val="32"/>
    </w:rPr>
  </w:style>
  <w:style w:type="table" w:styleId="TableGrid">
    <w:name w:val="Table Grid"/>
    <w:basedOn w:val="TableNormal"/>
    <w:uiPriority w:val="39"/>
    <w:rsid w:val="008A5043"/>
    <w:pPr>
      <w:spacing w:before="24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8A5043"/>
    <w:pPr>
      <w:spacing w:before="0"/>
      <w:ind w:left="0"/>
    </w:pPr>
    <w:rPr>
      <w:sz w:val="18"/>
      <w:szCs w:val="18"/>
    </w:rPr>
  </w:style>
  <w:style w:type="character" w:customStyle="1" w:styleId="FootnoteTextChar">
    <w:name w:val="Footnote Text Char"/>
    <w:basedOn w:val="DefaultParagraphFont"/>
    <w:link w:val="FootnoteText"/>
    <w:uiPriority w:val="99"/>
    <w:semiHidden/>
    <w:locked/>
    <w:rsid w:val="008A5043"/>
    <w:rPr>
      <w:rFonts w:ascii="Arial" w:hAnsi="Arial" w:cs="Arial"/>
      <w:sz w:val="20"/>
      <w:szCs w:val="20"/>
      <w:lang w:val="en-AU" w:eastAsia="en-AU"/>
    </w:rPr>
  </w:style>
  <w:style w:type="character" w:styleId="FootnoteReference">
    <w:name w:val="footnote reference"/>
    <w:basedOn w:val="DefaultParagraphFont"/>
    <w:uiPriority w:val="99"/>
    <w:semiHidden/>
    <w:rsid w:val="008A5043"/>
    <w:rPr>
      <w:rFonts w:cs="Times New Roman"/>
      <w:vertAlign w:val="superscript"/>
    </w:rPr>
  </w:style>
  <w:style w:type="character" w:styleId="Strong">
    <w:name w:val="Strong"/>
    <w:basedOn w:val="DefaultParagraphFont"/>
    <w:uiPriority w:val="22"/>
    <w:qFormat/>
    <w:rsid w:val="008A5043"/>
    <w:rPr>
      <w:rFonts w:cs="Times New Roman"/>
      <w:b/>
      <w:bCs/>
    </w:rPr>
  </w:style>
  <w:style w:type="paragraph" w:customStyle="1" w:styleId="CM44">
    <w:name w:val="CM44"/>
    <w:basedOn w:val="Normal"/>
    <w:next w:val="Normal"/>
    <w:uiPriority w:val="1"/>
    <w:semiHidden/>
    <w:rsid w:val="008A5043"/>
    <w:pPr>
      <w:autoSpaceDE w:val="0"/>
      <w:autoSpaceDN w:val="0"/>
      <w:adjustRightInd w:val="0"/>
      <w:spacing w:before="0"/>
      <w:ind w:left="0"/>
    </w:pPr>
  </w:style>
  <w:style w:type="paragraph" w:styleId="NormalWeb">
    <w:name w:val="Normal (Web)"/>
    <w:basedOn w:val="Normal"/>
    <w:uiPriority w:val="99"/>
    <w:semiHidden/>
    <w:rsid w:val="008A5043"/>
    <w:pPr>
      <w:spacing w:before="100" w:beforeAutospacing="1" w:after="100" w:afterAutospacing="1"/>
      <w:ind w:left="0"/>
    </w:pPr>
    <w:rPr>
      <w:rFonts w:ascii="Times New Roman" w:hAnsi="Times New Roman" w:cs="Times New Roman"/>
    </w:rPr>
  </w:style>
  <w:style w:type="paragraph" w:customStyle="1" w:styleId="Default">
    <w:name w:val="Default"/>
    <w:rsid w:val="008A5043"/>
    <w:pPr>
      <w:autoSpaceDE w:val="0"/>
      <w:autoSpaceDN w:val="0"/>
      <w:adjustRightInd w:val="0"/>
    </w:pPr>
    <w:rPr>
      <w:color w:val="000000"/>
      <w:sz w:val="24"/>
      <w:szCs w:val="24"/>
    </w:rPr>
  </w:style>
  <w:style w:type="paragraph" w:customStyle="1" w:styleId="Notes">
    <w:name w:val="Note(s)"/>
    <w:basedOn w:val="Sources"/>
    <w:autoRedefine/>
    <w:uiPriority w:val="2"/>
    <w:qFormat/>
    <w:rsid w:val="003F17B3"/>
    <w:pPr>
      <w:spacing w:after="0"/>
    </w:pPr>
  </w:style>
  <w:style w:type="paragraph" w:customStyle="1" w:styleId="TableTextLeft">
    <w:name w:val="Table Text Left"/>
    <w:basedOn w:val="Default"/>
    <w:next w:val="Default"/>
    <w:uiPriority w:val="1"/>
    <w:semiHidden/>
    <w:rsid w:val="008A5043"/>
    <w:rPr>
      <w:rFonts w:ascii="Arial" w:hAnsi="Arial" w:cs="Arial"/>
      <w:color w:val="auto"/>
    </w:rPr>
  </w:style>
  <w:style w:type="numbering" w:customStyle="1" w:styleId="Bullet1">
    <w:name w:val="Bullet 1"/>
    <w:basedOn w:val="NoList"/>
    <w:rsid w:val="004C0F98"/>
    <w:pPr>
      <w:numPr>
        <w:numId w:val="2"/>
      </w:numPr>
    </w:pPr>
  </w:style>
  <w:style w:type="paragraph" w:styleId="BodyText">
    <w:name w:val="Body Text"/>
    <w:basedOn w:val="Normal"/>
    <w:link w:val="BodyTextChar"/>
    <w:qFormat/>
    <w:rsid w:val="008A5043"/>
    <w:pPr>
      <w:spacing w:before="0" w:after="220"/>
      <w:ind w:left="0"/>
    </w:pPr>
    <w:rPr>
      <w:sz w:val="22"/>
      <w:szCs w:val="22"/>
    </w:rPr>
  </w:style>
  <w:style w:type="character" w:customStyle="1" w:styleId="BodyTextChar">
    <w:name w:val="Body Text Char"/>
    <w:basedOn w:val="DefaultParagraphFont"/>
    <w:link w:val="BodyText"/>
    <w:locked/>
    <w:rsid w:val="008A5043"/>
    <w:rPr>
      <w:rFonts w:ascii="Arial" w:hAnsi="Arial" w:cs="Arial"/>
      <w:sz w:val="22"/>
      <w:szCs w:val="22"/>
      <w:lang w:eastAsia="en-AU"/>
    </w:rPr>
  </w:style>
  <w:style w:type="paragraph" w:customStyle="1" w:styleId="Comment-JD">
    <w:name w:val="Comment - JD"/>
    <w:basedOn w:val="BodyText"/>
    <w:uiPriority w:val="1"/>
    <w:semiHidden/>
    <w:rsid w:val="008A5043"/>
    <w:pPr>
      <w:spacing w:after="0"/>
    </w:pPr>
    <w:rPr>
      <w:rFonts w:ascii="Times New Roman" w:hAnsi="Times New Roman" w:cs="Times New Roman"/>
      <w:color w:val="FF0000"/>
    </w:rPr>
  </w:style>
  <w:style w:type="paragraph" w:styleId="Quote">
    <w:name w:val="Quote"/>
    <w:basedOn w:val="Normal"/>
    <w:next w:val="Normal"/>
    <w:link w:val="QuoteChar"/>
    <w:uiPriority w:val="5"/>
    <w:qFormat/>
    <w:rsid w:val="003E7516"/>
    <w:pPr>
      <w:spacing w:after="240"/>
      <w:ind w:left="284"/>
    </w:pPr>
    <w:rPr>
      <w:i/>
      <w:iCs/>
      <w:sz w:val="22"/>
    </w:rPr>
  </w:style>
  <w:style w:type="character" w:customStyle="1" w:styleId="QuoteChar">
    <w:name w:val="Quote Char"/>
    <w:basedOn w:val="DefaultParagraphFont"/>
    <w:link w:val="Quote"/>
    <w:uiPriority w:val="5"/>
    <w:locked/>
    <w:rsid w:val="00E602BA"/>
    <w:rPr>
      <w:rFonts w:ascii="Arial" w:hAnsi="Arial" w:cs="Arial"/>
      <w:i/>
      <w:iCs/>
      <w:sz w:val="22"/>
      <w:szCs w:val="24"/>
    </w:rPr>
  </w:style>
  <w:style w:type="paragraph" w:customStyle="1" w:styleId="Figuretitle">
    <w:name w:val="Figure title"/>
    <w:basedOn w:val="Normal"/>
    <w:link w:val="FiguretitleChar"/>
    <w:autoRedefine/>
    <w:uiPriority w:val="2"/>
    <w:rsid w:val="00587B03"/>
    <w:pPr>
      <w:keepNext/>
      <w:spacing w:before="0"/>
      <w:ind w:left="0"/>
    </w:pPr>
    <w:rPr>
      <w:b/>
      <w:bCs/>
      <w:color w:val="6A737B"/>
      <w:sz w:val="20"/>
      <w:szCs w:val="20"/>
    </w:rPr>
  </w:style>
  <w:style w:type="character" w:customStyle="1" w:styleId="A8">
    <w:name w:val="A8"/>
    <w:uiPriority w:val="1"/>
    <w:semiHidden/>
    <w:rsid w:val="008A5043"/>
    <w:rPr>
      <w:b/>
      <w:color w:val="000000"/>
      <w:sz w:val="30"/>
    </w:rPr>
  </w:style>
  <w:style w:type="paragraph" w:customStyle="1" w:styleId="Boxnote">
    <w:name w:val="Box_note"/>
    <w:basedOn w:val="Notes"/>
    <w:uiPriority w:val="3"/>
    <w:qFormat/>
    <w:rsid w:val="00BD54CA"/>
    <w:pPr>
      <w:pBdr>
        <w:top w:val="single" w:sz="4" w:space="1" w:color="F68B33" w:themeColor="accent2"/>
        <w:left w:val="single" w:sz="4" w:space="4" w:color="F68B33" w:themeColor="accent2"/>
        <w:bottom w:val="single" w:sz="4" w:space="1" w:color="F68B33" w:themeColor="accent2"/>
        <w:right w:val="single" w:sz="4" w:space="4" w:color="F68B33" w:themeColor="accent2"/>
      </w:pBdr>
      <w:shd w:val="clear" w:color="auto" w:fill="FEF0DE" w:themeFill="text1"/>
    </w:pPr>
  </w:style>
  <w:style w:type="paragraph" w:customStyle="1" w:styleId="Squaretext">
    <w:name w:val="Square text"/>
    <w:basedOn w:val="Normal"/>
    <w:uiPriority w:val="1"/>
    <w:semiHidden/>
    <w:rsid w:val="00261F3C"/>
    <w:pPr>
      <w:autoSpaceDE w:val="0"/>
      <w:autoSpaceDN w:val="0"/>
      <w:adjustRightInd w:val="0"/>
      <w:spacing w:before="20" w:after="20"/>
      <w:ind w:left="0"/>
    </w:pPr>
    <w:rPr>
      <w:sz w:val="20"/>
      <w:szCs w:val="20"/>
    </w:rPr>
  </w:style>
  <w:style w:type="paragraph" w:customStyle="1" w:styleId="Squaretextbold">
    <w:name w:val="Square text bold"/>
    <w:basedOn w:val="Squaretext"/>
    <w:uiPriority w:val="1"/>
    <w:semiHidden/>
    <w:rsid w:val="008A5043"/>
    <w:rPr>
      <w:b/>
      <w:bCs/>
    </w:rPr>
  </w:style>
  <w:style w:type="paragraph" w:customStyle="1" w:styleId="Sources">
    <w:name w:val="Source(s)"/>
    <w:basedOn w:val="BodyText"/>
    <w:link w:val="SourcesChar"/>
    <w:autoRedefine/>
    <w:uiPriority w:val="2"/>
    <w:rsid w:val="009547B2"/>
    <w:pPr>
      <w:keepNext/>
      <w:keepLines/>
      <w:tabs>
        <w:tab w:val="left" w:pos="709"/>
      </w:tabs>
      <w:spacing w:after="200"/>
    </w:pPr>
    <w:rPr>
      <w:i/>
      <w:iCs/>
      <w:sz w:val="16"/>
      <w:szCs w:val="18"/>
    </w:rPr>
  </w:style>
  <w:style w:type="paragraph" w:customStyle="1" w:styleId="Credits">
    <w:name w:val="Credits"/>
    <w:basedOn w:val="BodyText"/>
    <w:uiPriority w:val="99"/>
    <w:semiHidden/>
    <w:rsid w:val="00796E44"/>
    <w:pPr>
      <w:spacing w:after="360"/>
      <w:jc w:val="center"/>
    </w:pPr>
    <w:rPr>
      <w:b/>
      <w:bCs/>
      <w:noProof/>
      <w:color w:val="808080"/>
      <w:sz w:val="24"/>
      <w:szCs w:val="24"/>
      <w:lang w:val="en-US" w:eastAsia="en-US"/>
    </w:rPr>
  </w:style>
  <w:style w:type="paragraph" w:styleId="Caption">
    <w:name w:val="caption"/>
    <w:basedOn w:val="Normal"/>
    <w:next w:val="Normal"/>
    <w:uiPriority w:val="1"/>
    <w:qFormat/>
    <w:rsid w:val="008A5043"/>
    <w:rPr>
      <w:b/>
      <w:bCs/>
      <w:sz w:val="20"/>
      <w:szCs w:val="20"/>
    </w:rPr>
  </w:style>
  <w:style w:type="character" w:customStyle="1" w:styleId="FiguretitleChar">
    <w:name w:val="Figure title Char"/>
    <w:basedOn w:val="DefaultParagraphFont"/>
    <w:link w:val="Figuretitle"/>
    <w:uiPriority w:val="2"/>
    <w:locked/>
    <w:rsid w:val="00587B03"/>
    <w:rPr>
      <w:rFonts w:ascii="Arial" w:hAnsi="Arial" w:cs="Arial"/>
      <w:b/>
      <w:bCs/>
      <w:color w:val="6A737B"/>
    </w:rPr>
  </w:style>
  <w:style w:type="character" w:styleId="CommentReference">
    <w:name w:val="annotation reference"/>
    <w:basedOn w:val="DefaultParagraphFont"/>
    <w:uiPriority w:val="99"/>
    <w:semiHidden/>
    <w:locked/>
    <w:rsid w:val="008A5043"/>
    <w:rPr>
      <w:rFonts w:cs="Times New Roman"/>
      <w:sz w:val="16"/>
      <w:szCs w:val="16"/>
    </w:rPr>
  </w:style>
  <w:style w:type="paragraph" w:styleId="CommentText">
    <w:name w:val="annotation text"/>
    <w:basedOn w:val="Normal"/>
    <w:link w:val="CommentTextChar"/>
    <w:semiHidden/>
    <w:locked/>
    <w:rsid w:val="008A5043"/>
    <w:rPr>
      <w:sz w:val="20"/>
      <w:szCs w:val="20"/>
    </w:rPr>
  </w:style>
  <w:style w:type="character" w:customStyle="1" w:styleId="CommentTextChar">
    <w:name w:val="Comment Text Char"/>
    <w:basedOn w:val="DefaultParagraphFont"/>
    <w:link w:val="CommentText"/>
    <w:semiHidden/>
    <w:locked/>
    <w:rsid w:val="008A5043"/>
    <w:rPr>
      <w:rFonts w:ascii="Arial" w:hAnsi="Arial" w:cs="Arial"/>
      <w:sz w:val="20"/>
      <w:szCs w:val="20"/>
      <w:lang w:val="en-AU" w:eastAsia="en-AU"/>
    </w:rPr>
  </w:style>
  <w:style w:type="paragraph" w:styleId="CommentSubject">
    <w:name w:val="annotation subject"/>
    <w:basedOn w:val="CommentText"/>
    <w:next w:val="CommentText"/>
    <w:link w:val="CommentSubjectChar"/>
    <w:semiHidden/>
    <w:locked/>
    <w:rsid w:val="008A5043"/>
    <w:rPr>
      <w:b/>
      <w:bCs/>
    </w:rPr>
  </w:style>
  <w:style w:type="character" w:customStyle="1" w:styleId="CommentSubjectChar">
    <w:name w:val="Comment Subject Char"/>
    <w:basedOn w:val="CommentTextChar"/>
    <w:link w:val="CommentSubject"/>
    <w:semiHidden/>
    <w:locked/>
    <w:rsid w:val="008A5043"/>
    <w:rPr>
      <w:rFonts w:ascii="Arial" w:hAnsi="Arial" w:cs="Arial"/>
      <w:b/>
      <w:bCs/>
      <w:sz w:val="20"/>
      <w:szCs w:val="20"/>
      <w:lang w:val="en-AU" w:eastAsia="en-AU"/>
    </w:rPr>
  </w:style>
  <w:style w:type="character" w:customStyle="1" w:styleId="SourcesChar">
    <w:name w:val="Source(s) Char"/>
    <w:basedOn w:val="BodyTextChar"/>
    <w:link w:val="Sources"/>
    <w:uiPriority w:val="2"/>
    <w:locked/>
    <w:rsid w:val="009547B2"/>
    <w:rPr>
      <w:rFonts w:ascii="Arial" w:hAnsi="Arial" w:cs="Arial"/>
      <w:i/>
      <w:iCs/>
      <w:sz w:val="16"/>
      <w:szCs w:val="18"/>
      <w:lang w:eastAsia="en-AU"/>
    </w:rPr>
  </w:style>
  <w:style w:type="paragraph" w:styleId="TOC1">
    <w:name w:val="toc 1"/>
    <w:basedOn w:val="Normal"/>
    <w:next w:val="Normal"/>
    <w:autoRedefine/>
    <w:uiPriority w:val="39"/>
    <w:locked/>
    <w:rsid w:val="001F4231"/>
    <w:pPr>
      <w:tabs>
        <w:tab w:val="left" w:pos="6657"/>
        <w:tab w:val="right" w:leader="dot" w:pos="13596"/>
      </w:tabs>
      <w:ind w:left="6237"/>
    </w:pPr>
    <w:rPr>
      <w:noProof/>
    </w:rPr>
  </w:style>
  <w:style w:type="paragraph" w:customStyle="1" w:styleId="Bullet2">
    <w:name w:val="Bullet 2"/>
    <w:basedOn w:val="Normal"/>
    <w:uiPriority w:val="1"/>
    <w:semiHidden/>
    <w:rsid w:val="004C0F98"/>
    <w:pPr>
      <w:numPr>
        <w:numId w:val="3"/>
      </w:numPr>
      <w:spacing w:before="0" w:after="220"/>
    </w:pPr>
    <w:rPr>
      <w:sz w:val="22"/>
    </w:rPr>
  </w:style>
  <w:style w:type="paragraph" w:customStyle="1" w:styleId="Boxsource">
    <w:name w:val="Box_source"/>
    <w:basedOn w:val="Sources"/>
    <w:next w:val="BodyText"/>
    <w:uiPriority w:val="3"/>
    <w:qFormat/>
    <w:rsid w:val="00BD54CA"/>
    <w:pPr>
      <w:pBdr>
        <w:top w:val="single" w:sz="4" w:space="1" w:color="F68B33" w:themeColor="accent2"/>
        <w:left w:val="single" w:sz="4" w:space="4" w:color="F68B33" w:themeColor="accent2"/>
        <w:bottom w:val="single" w:sz="4" w:space="1" w:color="F68B33" w:themeColor="accent2"/>
        <w:right w:val="single" w:sz="4" w:space="4" w:color="F68B33" w:themeColor="accent2"/>
      </w:pBdr>
      <w:shd w:val="clear" w:color="auto" w:fill="FEF0DE" w:themeFill="text1"/>
    </w:pPr>
  </w:style>
  <w:style w:type="paragraph" w:customStyle="1" w:styleId="Break-outquote">
    <w:name w:val="Break-out quote"/>
    <w:basedOn w:val="BodyText"/>
    <w:next w:val="BodyText"/>
    <w:uiPriority w:val="5"/>
    <w:qFormat/>
    <w:rsid w:val="00220F3B"/>
    <w:pPr>
      <w:keepLines/>
      <w:spacing w:after="120"/>
      <w:ind w:left="851"/>
    </w:pPr>
    <w:rPr>
      <w:rFonts w:ascii="Times New Roman" w:hAnsi="Times New Roman" w:cs="Times New Roman"/>
      <w:i/>
      <w:iCs/>
      <w:color w:val="F3901D"/>
      <w:sz w:val="32"/>
      <w:szCs w:val="36"/>
    </w:rPr>
  </w:style>
  <w:style w:type="paragraph" w:styleId="TableofFigures">
    <w:name w:val="table of figures"/>
    <w:basedOn w:val="Normal"/>
    <w:next w:val="Normal"/>
    <w:uiPriority w:val="99"/>
    <w:locked/>
    <w:rsid w:val="001F4231"/>
    <w:pPr>
      <w:ind w:left="0"/>
    </w:pPr>
  </w:style>
  <w:style w:type="paragraph" w:customStyle="1" w:styleId="FooterReport">
    <w:name w:val="Footer_Report"/>
    <w:basedOn w:val="Header"/>
    <w:uiPriority w:val="7"/>
    <w:qFormat/>
    <w:rsid w:val="006F7D52"/>
  </w:style>
  <w:style w:type="paragraph" w:customStyle="1" w:styleId="References">
    <w:name w:val="References"/>
    <w:basedOn w:val="Normal"/>
    <w:uiPriority w:val="4"/>
    <w:qFormat/>
    <w:rsid w:val="00FD0AB4"/>
    <w:pPr>
      <w:spacing w:before="0" w:after="120"/>
      <w:ind w:left="0"/>
    </w:pPr>
    <w:rPr>
      <w:sz w:val="18"/>
    </w:rPr>
  </w:style>
  <w:style w:type="paragraph" w:customStyle="1" w:styleId="ReportBullet1">
    <w:name w:val="Report Bullet 1"/>
    <w:uiPriority w:val="3"/>
    <w:qFormat/>
    <w:rsid w:val="004C0F98"/>
    <w:pPr>
      <w:numPr>
        <w:numId w:val="4"/>
      </w:numPr>
      <w:tabs>
        <w:tab w:val="left" w:pos="426"/>
      </w:tabs>
      <w:spacing w:after="220"/>
    </w:pPr>
    <w:rPr>
      <w:rFonts w:ascii="Arial" w:hAnsi="Arial" w:cs="Arial"/>
      <w:sz w:val="22"/>
      <w:szCs w:val="22"/>
    </w:rPr>
  </w:style>
  <w:style w:type="paragraph" w:customStyle="1" w:styleId="ReportBullet2">
    <w:name w:val="Report Bullet 2"/>
    <w:basedOn w:val="BodyText"/>
    <w:uiPriority w:val="3"/>
    <w:qFormat/>
    <w:rsid w:val="004C0F98"/>
    <w:pPr>
      <w:numPr>
        <w:ilvl w:val="1"/>
        <w:numId w:val="5"/>
      </w:numPr>
    </w:pPr>
  </w:style>
  <w:style w:type="paragraph" w:styleId="BlockText">
    <w:name w:val="Block Text"/>
    <w:basedOn w:val="Normal"/>
    <w:uiPriority w:val="1"/>
    <w:semiHidden/>
    <w:locked/>
    <w:rsid w:val="000B01A9"/>
    <w:pPr>
      <w:pBdr>
        <w:top w:val="single" w:sz="2" w:space="10" w:color="D4582A" w:themeColor="accent1" w:shadow="1"/>
        <w:left w:val="single" w:sz="2" w:space="10" w:color="D4582A" w:themeColor="accent1" w:shadow="1"/>
        <w:bottom w:val="single" w:sz="2" w:space="10" w:color="D4582A" w:themeColor="accent1" w:shadow="1"/>
        <w:right w:val="single" w:sz="2" w:space="10" w:color="D4582A" w:themeColor="accent1" w:shadow="1"/>
      </w:pBdr>
      <w:ind w:left="1152" w:right="1152"/>
    </w:pPr>
    <w:rPr>
      <w:rFonts w:asciiTheme="minorHAnsi" w:eastAsiaTheme="minorEastAsia" w:hAnsiTheme="minorHAnsi" w:cstheme="minorBidi"/>
      <w:i/>
      <w:iCs/>
      <w:color w:val="D4582A" w:themeColor="accent1"/>
    </w:rPr>
  </w:style>
  <w:style w:type="paragraph" w:customStyle="1" w:styleId="Reportnumbered">
    <w:name w:val="Report numbered"/>
    <w:basedOn w:val="ReportBullet1"/>
    <w:uiPriority w:val="3"/>
    <w:qFormat/>
    <w:rsid w:val="004C0F98"/>
    <w:pPr>
      <w:numPr>
        <w:numId w:val="6"/>
      </w:numPr>
    </w:pPr>
  </w:style>
  <w:style w:type="paragraph" w:customStyle="1" w:styleId="Tablefont">
    <w:name w:val="Table font"/>
    <w:basedOn w:val="BodyText"/>
    <w:uiPriority w:val="4"/>
    <w:qFormat/>
    <w:rsid w:val="00D34C57"/>
    <w:pPr>
      <w:keepNext/>
      <w:keepLines/>
      <w:spacing w:before="40" w:after="40"/>
    </w:pPr>
    <w:rPr>
      <w:bCs/>
      <w:sz w:val="18"/>
      <w:lang w:val="en-US"/>
    </w:rPr>
  </w:style>
  <w:style w:type="paragraph" w:customStyle="1" w:styleId="BoxHeading">
    <w:name w:val="Box Heading"/>
    <w:basedOn w:val="BodyText"/>
    <w:next w:val="BOXText"/>
    <w:autoRedefine/>
    <w:uiPriority w:val="3"/>
    <w:qFormat/>
    <w:rsid w:val="007841B0"/>
    <w:pPr>
      <w:keepNext/>
      <w:pBdr>
        <w:top w:val="single" w:sz="4" w:space="1" w:color="F68B33" w:themeColor="accent2"/>
        <w:left w:val="single" w:sz="4" w:space="4" w:color="F68B33" w:themeColor="accent2"/>
        <w:bottom w:val="single" w:sz="4" w:space="1" w:color="F68B33" w:themeColor="accent2"/>
        <w:right w:val="single" w:sz="4" w:space="4" w:color="F68B33" w:themeColor="accent2"/>
      </w:pBdr>
      <w:shd w:val="clear" w:color="auto" w:fill="FEF0DE" w:themeFill="text1"/>
      <w:spacing w:before="120"/>
    </w:pPr>
    <w:rPr>
      <w:rFonts w:ascii="Arial Bold" w:hAnsi="Arial Bold"/>
      <w:b/>
      <w:color w:val="F8981D"/>
    </w:rPr>
  </w:style>
  <w:style w:type="paragraph" w:customStyle="1" w:styleId="BOXText">
    <w:name w:val="BOX Text"/>
    <w:basedOn w:val="BodyText"/>
    <w:uiPriority w:val="3"/>
    <w:qFormat/>
    <w:rsid w:val="00261F3C"/>
    <w:pPr>
      <w:pBdr>
        <w:top w:val="single" w:sz="4" w:space="1" w:color="F68B33" w:themeColor="accent2"/>
        <w:left w:val="single" w:sz="4" w:space="4" w:color="F68B33" w:themeColor="accent2"/>
        <w:bottom w:val="single" w:sz="4" w:space="1" w:color="F68B33" w:themeColor="accent2"/>
        <w:right w:val="single" w:sz="4" w:space="4" w:color="F68B33" w:themeColor="accent2"/>
      </w:pBdr>
      <w:shd w:val="clear" w:color="auto" w:fill="FEF0DE" w:themeFill="text1"/>
    </w:pPr>
  </w:style>
  <w:style w:type="paragraph" w:styleId="DocumentMap">
    <w:name w:val="Document Map"/>
    <w:basedOn w:val="Normal"/>
    <w:link w:val="DocumentMapChar"/>
    <w:uiPriority w:val="1"/>
    <w:semiHidden/>
    <w:locked/>
    <w:rsid w:val="00A35542"/>
    <w:pPr>
      <w:spacing w:before="0"/>
    </w:pPr>
    <w:rPr>
      <w:rFonts w:ascii="Tahoma" w:hAnsi="Tahoma" w:cs="Tahoma"/>
      <w:sz w:val="16"/>
      <w:szCs w:val="16"/>
    </w:rPr>
  </w:style>
  <w:style w:type="character" w:customStyle="1" w:styleId="DocumentMapChar">
    <w:name w:val="Document Map Char"/>
    <w:basedOn w:val="DefaultParagraphFont"/>
    <w:link w:val="DocumentMap"/>
    <w:uiPriority w:val="1"/>
    <w:semiHidden/>
    <w:rsid w:val="00A35542"/>
    <w:rPr>
      <w:rFonts w:ascii="Tahoma" w:hAnsi="Tahoma" w:cs="Tahoma"/>
      <w:sz w:val="16"/>
      <w:szCs w:val="16"/>
    </w:rPr>
  </w:style>
  <w:style w:type="table" w:styleId="LightList-Accent5">
    <w:name w:val="Light List Accent 5"/>
    <w:basedOn w:val="TableNormal"/>
    <w:uiPriority w:val="61"/>
    <w:rsid w:val="00FD1AF6"/>
    <w:tblPr>
      <w:tblStyleRowBandSize w:val="1"/>
      <w:tblStyleColBandSize w:val="1"/>
      <w:tblBorders>
        <w:top w:val="single" w:sz="8" w:space="0" w:color="F3901D" w:themeColor="accent5"/>
        <w:left w:val="single" w:sz="8" w:space="0" w:color="F3901D" w:themeColor="accent5"/>
        <w:bottom w:val="single" w:sz="8" w:space="0" w:color="F3901D" w:themeColor="accent5"/>
        <w:right w:val="single" w:sz="8" w:space="0" w:color="F3901D" w:themeColor="accent5"/>
      </w:tblBorders>
    </w:tblPr>
    <w:tblStylePr w:type="firstRow">
      <w:pPr>
        <w:spacing w:before="0" w:after="0" w:line="240" w:lineRule="auto"/>
      </w:pPr>
      <w:rPr>
        <w:b/>
        <w:bCs/>
        <w:color w:val="FE8B3B" w:themeColor="background1"/>
      </w:rPr>
      <w:tblPr/>
      <w:tcPr>
        <w:shd w:val="clear" w:color="auto" w:fill="F3901D" w:themeFill="accent5"/>
      </w:tcPr>
    </w:tblStylePr>
    <w:tblStylePr w:type="lastRow">
      <w:pPr>
        <w:spacing w:before="0" w:after="0" w:line="240" w:lineRule="auto"/>
      </w:pPr>
      <w:rPr>
        <w:b/>
        <w:bCs/>
      </w:rPr>
      <w:tblPr/>
      <w:tcPr>
        <w:tcBorders>
          <w:top w:val="double" w:sz="6" w:space="0" w:color="F3901D" w:themeColor="accent5"/>
          <w:left w:val="single" w:sz="8" w:space="0" w:color="F3901D" w:themeColor="accent5"/>
          <w:bottom w:val="single" w:sz="8" w:space="0" w:color="F3901D" w:themeColor="accent5"/>
          <w:right w:val="single" w:sz="8" w:space="0" w:color="F3901D" w:themeColor="accent5"/>
        </w:tcBorders>
      </w:tcPr>
    </w:tblStylePr>
    <w:tblStylePr w:type="firstCol">
      <w:rPr>
        <w:b/>
        <w:bCs/>
      </w:rPr>
    </w:tblStylePr>
    <w:tblStylePr w:type="lastCol">
      <w:rPr>
        <w:b/>
        <w:bCs/>
      </w:rPr>
    </w:tblStylePr>
    <w:tblStylePr w:type="band1Vert">
      <w:tblPr/>
      <w:tcPr>
        <w:tcBorders>
          <w:top w:val="single" w:sz="8" w:space="0" w:color="F3901D" w:themeColor="accent5"/>
          <w:left w:val="single" w:sz="8" w:space="0" w:color="F3901D" w:themeColor="accent5"/>
          <w:bottom w:val="single" w:sz="8" w:space="0" w:color="F3901D" w:themeColor="accent5"/>
          <w:right w:val="single" w:sz="8" w:space="0" w:color="F3901D" w:themeColor="accent5"/>
        </w:tcBorders>
      </w:tcPr>
    </w:tblStylePr>
    <w:tblStylePr w:type="band1Horz">
      <w:tblPr/>
      <w:tcPr>
        <w:tcBorders>
          <w:top w:val="single" w:sz="8" w:space="0" w:color="F3901D" w:themeColor="accent5"/>
          <w:left w:val="single" w:sz="8" w:space="0" w:color="F3901D" w:themeColor="accent5"/>
          <w:bottom w:val="single" w:sz="8" w:space="0" w:color="F3901D" w:themeColor="accent5"/>
          <w:right w:val="single" w:sz="8" w:space="0" w:color="F3901D" w:themeColor="accent5"/>
        </w:tcBorders>
      </w:tcPr>
    </w:tblStylePr>
  </w:style>
  <w:style w:type="paragraph" w:customStyle="1" w:styleId="ChartUnits">
    <w:name w:val="Chart Units"/>
    <w:basedOn w:val="Figuretitle"/>
    <w:next w:val="Chartpara"/>
    <w:autoRedefine/>
    <w:uiPriority w:val="1"/>
    <w:qFormat/>
    <w:rsid w:val="002B5E5C"/>
    <w:rPr>
      <w:b w:val="0"/>
    </w:rPr>
  </w:style>
  <w:style w:type="paragraph" w:customStyle="1" w:styleId="Chartpara">
    <w:name w:val="Chart para"/>
    <w:basedOn w:val="BodyText"/>
    <w:next w:val="ChartUnits"/>
    <w:uiPriority w:val="1"/>
    <w:qFormat/>
    <w:rsid w:val="000E7307"/>
    <w:pPr>
      <w:keepNext/>
      <w:keepLines/>
      <w:spacing w:after="200"/>
    </w:pPr>
  </w:style>
  <w:style w:type="paragraph" w:customStyle="1" w:styleId="Chartunits0">
    <w:name w:val="Chart units"/>
    <w:basedOn w:val="Figuretitle"/>
    <w:qFormat/>
    <w:rsid w:val="000E7307"/>
    <w:pPr>
      <w:keepLines/>
    </w:pPr>
    <w:rPr>
      <w:b w:val="0"/>
      <w:color w:val="6A737B" w:themeColor="accent6"/>
    </w:rPr>
  </w:style>
  <w:style w:type="paragraph" w:customStyle="1" w:styleId="Source">
    <w:name w:val="Source"/>
    <w:basedOn w:val="BodyText"/>
    <w:link w:val="SourceChar"/>
    <w:rsid w:val="00FE6074"/>
    <w:pPr>
      <w:spacing w:before="60"/>
    </w:pPr>
    <w:rPr>
      <w:i/>
      <w:iCs/>
      <w:sz w:val="18"/>
      <w:szCs w:val="18"/>
    </w:rPr>
  </w:style>
  <w:style w:type="character" w:customStyle="1" w:styleId="SourceChar">
    <w:name w:val="Source Char"/>
    <w:basedOn w:val="BodyTextChar"/>
    <w:link w:val="Source"/>
    <w:locked/>
    <w:rsid w:val="00FE6074"/>
    <w:rPr>
      <w:rFonts w:ascii="Arial" w:hAnsi="Arial" w:cs="Arial"/>
      <w:i/>
      <w:iCs/>
      <w:sz w:val="18"/>
      <w:szCs w:val="18"/>
      <w:lang w:eastAsia="en-AU"/>
    </w:rPr>
  </w:style>
  <w:style w:type="paragraph" w:customStyle="1" w:styleId="TableBodyText">
    <w:name w:val="Table Body Text"/>
    <w:basedOn w:val="BodyText"/>
    <w:rsid w:val="00FE6074"/>
    <w:pPr>
      <w:keepNext/>
      <w:keepLines/>
      <w:spacing w:after="40" w:line="220" w:lineRule="atLeast"/>
      <w:ind w:left="6" w:right="113"/>
      <w:jc w:val="right"/>
    </w:pPr>
    <w:rPr>
      <w:rFonts w:cs="Times New Roman"/>
      <w:sz w:val="20"/>
      <w:szCs w:val="24"/>
    </w:rPr>
  </w:style>
  <w:style w:type="paragraph" w:customStyle="1" w:styleId="TableColumnHeading">
    <w:name w:val="Table Column Heading"/>
    <w:basedOn w:val="TableBodyText"/>
    <w:rsid w:val="00FE6074"/>
    <w:pPr>
      <w:spacing w:before="80" w:after="80"/>
    </w:pPr>
    <w:rPr>
      <w:i/>
    </w:rPr>
  </w:style>
  <w:style w:type="character" w:customStyle="1" w:styleId="apple-converted-space">
    <w:name w:val="apple-converted-space"/>
    <w:basedOn w:val="DefaultParagraphFont"/>
    <w:rsid w:val="002C3B3A"/>
  </w:style>
  <w:style w:type="paragraph" w:styleId="ListParagraph">
    <w:name w:val="List Paragraph"/>
    <w:basedOn w:val="Normal"/>
    <w:uiPriority w:val="34"/>
    <w:qFormat/>
    <w:rsid w:val="00394770"/>
    <w:pPr>
      <w:spacing w:before="0" w:after="200" w:line="276" w:lineRule="auto"/>
      <w:ind w:left="720"/>
      <w:contextualSpacing/>
    </w:pPr>
    <w:rPr>
      <w:rFonts w:asciiTheme="minorHAnsi" w:eastAsiaTheme="minorEastAsia" w:hAnsiTheme="minorHAnsi" w:cstheme="minorBidi"/>
      <w:sz w:val="22"/>
      <w:szCs w:val="22"/>
    </w:rPr>
  </w:style>
  <w:style w:type="paragraph" w:customStyle="1" w:styleId="BodyA">
    <w:name w:val="Body A"/>
    <w:rsid w:val="00394770"/>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en-US" w:eastAsia="en-US"/>
    </w:rPr>
  </w:style>
  <w:style w:type="paragraph" w:customStyle="1" w:styleId="jnp1">
    <w:name w:val="jnp1"/>
    <w:basedOn w:val="Normal"/>
    <w:uiPriority w:val="99"/>
    <w:rsid w:val="004F3C6C"/>
    <w:pPr>
      <w:spacing w:before="100" w:beforeAutospacing="1" w:after="100" w:afterAutospacing="1"/>
      <w:ind w:left="0"/>
    </w:pPr>
    <w:rPr>
      <w:rFonts w:ascii="Times New Roman" w:eastAsiaTheme="minorHAnsi" w:hAnsi="Times New Roman" w:cs="Times New Roman"/>
    </w:rPr>
  </w:style>
  <w:style w:type="paragraph" w:styleId="PlainText">
    <w:name w:val="Plain Text"/>
    <w:basedOn w:val="Normal"/>
    <w:link w:val="PlainTextChar"/>
    <w:uiPriority w:val="99"/>
    <w:semiHidden/>
    <w:unhideWhenUsed/>
    <w:locked/>
    <w:rsid w:val="006F03E3"/>
    <w:pPr>
      <w:spacing w:before="0"/>
      <w:ind w:left="0"/>
    </w:pPr>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semiHidden/>
    <w:rsid w:val="006F03E3"/>
    <w:rPr>
      <w:rFonts w:ascii="Calibri" w:eastAsiaTheme="minorHAnsi" w:hAnsi="Calibri" w:cstheme="minorBidi"/>
      <w:sz w:val="22"/>
      <w:szCs w:val="21"/>
      <w:lang w:val="en-US" w:eastAsia="en-US"/>
    </w:rPr>
  </w:style>
  <w:style w:type="paragraph" w:styleId="Subtitle">
    <w:name w:val="Subtitle"/>
    <w:basedOn w:val="Normal"/>
    <w:next w:val="Normal"/>
    <w:link w:val="SubtitleChar"/>
    <w:uiPriority w:val="11"/>
    <w:qFormat/>
    <w:rsid w:val="00C75F99"/>
    <w:pPr>
      <w:numPr>
        <w:ilvl w:val="1"/>
      </w:numPr>
      <w:spacing w:after="160"/>
      <w:ind w:left="851"/>
    </w:pPr>
    <w:rPr>
      <w:rFonts w:asciiTheme="majorHAnsi" w:eastAsiaTheme="minorEastAsia" w:hAnsiTheme="majorHAnsi" w:cstheme="minorBidi"/>
      <w:b/>
      <w:spacing w:val="15"/>
      <w:sz w:val="32"/>
      <w:szCs w:val="22"/>
      <w:lang w:eastAsia="ja-JP"/>
    </w:rPr>
  </w:style>
  <w:style w:type="character" w:customStyle="1" w:styleId="SubtitleChar">
    <w:name w:val="Subtitle Char"/>
    <w:basedOn w:val="DefaultParagraphFont"/>
    <w:link w:val="Subtitle"/>
    <w:uiPriority w:val="11"/>
    <w:rsid w:val="00C75F99"/>
    <w:rPr>
      <w:rFonts w:asciiTheme="majorHAnsi" w:eastAsiaTheme="minorEastAsia" w:hAnsiTheme="majorHAnsi" w:cstheme="minorBidi"/>
      <w:b/>
      <w:spacing w:val="15"/>
      <w:sz w:val="32"/>
      <w:szCs w:val="22"/>
      <w:lang w:eastAsia="ja-JP"/>
    </w:rPr>
  </w:style>
  <w:style w:type="paragraph" w:customStyle="1" w:styleId="Bullet-1">
    <w:name w:val="Bullet-1"/>
    <w:basedOn w:val="ListParagraph"/>
    <w:link w:val="Bullet-1Char"/>
    <w:qFormat/>
    <w:rsid w:val="00C75F99"/>
    <w:pPr>
      <w:numPr>
        <w:numId w:val="42"/>
      </w:numPr>
      <w:spacing w:after="120" w:line="240" w:lineRule="auto"/>
    </w:pPr>
    <w:rPr>
      <w:rFonts w:asciiTheme="majorHAnsi" w:hAnsiTheme="majorHAnsi"/>
      <w:szCs w:val="24"/>
      <w:lang w:eastAsia="ja-JP"/>
    </w:rPr>
  </w:style>
  <w:style w:type="character" w:customStyle="1" w:styleId="Bullet-1Char">
    <w:name w:val="Bullet-1 Char"/>
    <w:basedOn w:val="DefaultParagraphFont"/>
    <w:link w:val="Bullet-1"/>
    <w:rsid w:val="00C75F99"/>
    <w:rPr>
      <w:rFonts w:asciiTheme="majorHAnsi" w:eastAsiaTheme="minorEastAsia" w:hAnsiTheme="majorHAnsi" w:cstheme="minorBidi"/>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 w:id="65884117">
      <w:bodyDiv w:val="1"/>
      <w:marLeft w:val="0"/>
      <w:marRight w:val="0"/>
      <w:marTop w:val="0"/>
      <w:marBottom w:val="0"/>
      <w:divBdr>
        <w:top w:val="none" w:sz="0" w:space="0" w:color="auto"/>
        <w:left w:val="none" w:sz="0" w:space="0" w:color="auto"/>
        <w:bottom w:val="none" w:sz="0" w:space="0" w:color="auto"/>
        <w:right w:val="none" w:sz="0" w:space="0" w:color="auto"/>
      </w:divBdr>
    </w:div>
    <w:div w:id="476191101">
      <w:bodyDiv w:val="1"/>
      <w:marLeft w:val="0"/>
      <w:marRight w:val="0"/>
      <w:marTop w:val="0"/>
      <w:marBottom w:val="0"/>
      <w:divBdr>
        <w:top w:val="none" w:sz="0" w:space="0" w:color="auto"/>
        <w:left w:val="none" w:sz="0" w:space="0" w:color="auto"/>
        <w:bottom w:val="none" w:sz="0" w:space="0" w:color="auto"/>
        <w:right w:val="none" w:sz="0" w:space="0" w:color="auto"/>
      </w:divBdr>
    </w:div>
    <w:div w:id="1053237559">
      <w:bodyDiv w:val="1"/>
      <w:marLeft w:val="0"/>
      <w:marRight w:val="0"/>
      <w:marTop w:val="0"/>
      <w:marBottom w:val="0"/>
      <w:divBdr>
        <w:top w:val="none" w:sz="0" w:space="0" w:color="auto"/>
        <w:left w:val="none" w:sz="0" w:space="0" w:color="auto"/>
        <w:bottom w:val="none" w:sz="0" w:space="0" w:color="auto"/>
        <w:right w:val="none" w:sz="0" w:space="0" w:color="auto"/>
      </w:divBdr>
    </w:div>
    <w:div w:id="1244334411">
      <w:bodyDiv w:val="1"/>
      <w:marLeft w:val="0"/>
      <w:marRight w:val="0"/>
      <w:marTop w:val="0"/>
      <w:marBottom w:val="0"/>
      <w:divBdr>
        <w:top w:val="none" w:sz="0" w:space="0" w:color="auto"/>
        <w:left w:val="none" w:sz="0" w:space="0" w:color="auto"/>
        <w:bottom w:val="none" w:sz="0" w:space="0" w:color="auto"/>
        <w:right w:val="none" w:sz="0" w:space="0" w:color="auto"/>
      </w:divBdr>
    </w:div>
    <w:div w:id="1320500900">
      <w:bodyDiv w:val="1"/>
      <w:marLeft w:val="0"/>
      <w:marRight w:val="0"/>
      <w:marTop w:val="0"/>
      <w:marBottom w:val="0"/>
      <w:divBdr>
        <w:top w:val="none" w:sz="0" w:space="0" w:color="auto"/>
        <w:left w:val="none" w:sz="0" w:space="0" w:color="auto"/>
        <w:bottom w:val="none" w:sz="0" w:space="0" w:color="auto"/>
        <w:right w:val="none" w:sz="0" w:space="0" w:color="auto"/>
      </w:divBdr>
    </w:div>
    <w:div w:id="1421952920">
      <w:bodyDiv w:val="1"/>
      <w:marLeft w:val="0"/>
      <w:marRight w:val="0"/>
      <w:marTop w:val="0"/>
      <w:marBottom w:val="0"/>
      <w:divBdr>
        <w:top w:val="none" w:sz="0" w:space="0" w:color="auto"/>
        <w:left w:val="none" w:sz="0" w:space="0" w:color="auto"/>
        <w:bottom w:val="none" w:sz="0" w:space="0" w:color="auto"/>
        <w:right w:val="none" w:sz="0" w:space="0" w:color="auto"/>
      </w:divBdr>
    </w:div>
    <w:div w:id="1734155224">
      <w:bodyDiv w:val="1"/>
      <w:marLeft w:val="0"/>
      <w:marRight w:val="0"/>
      <w:marTop w:val="0"/>
      <w:marBottom w:val="0"/>
      <w:divBdr>
        <w:top w:val="none" w:sz="0" w:space="0" w:color="auto"/>
        <w:left w:val="none" w:sz="0" w:space="0" w:color="auto"/>
        <w:bottom w:val="none" w:sz="0" w:space="0" w:color="auto"/>
        <w:right w:val="none" w:sz="0" w:space="0" w:color="auto"/>
      </w:divBdr>
    </w:div>
    <w:div w:id="1907953554">
      <w:bodyDiv w:val="1"/>
      <w:marLeft w:val="0"/>
      <w:marRight w:val="0"/>
      <w:marTop w:val="0"/>
      <w:marBottom w:val="0"/>
      <w:divBdr>
        <w:top w:val="none" w:sz="0" w:space="0" w:color="auto"/>
        <w:left w:val="none" w:sz="0" w:space="0" w:color="auto"/>
        <w:bottom w:val="none" w:sz="0" w:space="0" w:color="auto"/>
        <w:right w:val="none" w:sz="0" w:space="0" w:color="auto"/>
      </w:divBdr>
    </w:div>
    <w:div w:id="200442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Grattan">
      <a:dk1>
        <a:srgbClr val="FEF0DE"/>
      </a:dk1>
      <a:lt1>
        <a:srgbClr val="FE8B3B"/>
      </a:lt1>
      <a:dk2>
        <a:srgbClr val="621214"/>
      </a:dk2>
      <a:lt2>
        <a:srgbClr val="A02226"/>
      </a:lt2>
      <a:accent1>
        <a:srgbClr val="D4582A"/>
      </a:accent1>
      <a:accent2>
        <a:srgbClr val="F68B33"/>
      </a:accent2>
      <a:accent3>
        <a:srgbClr val="FFC35A"/>
      </a:accent3>
      <a:accent4>
        <a:srgbClr val="FFE07F"/>
      </a:accent4>
      <a:accent5>
        <a:srgbClr val="F3901D"/>
      </a:accent5>
      <a:accent6>
        <a:srgbClr val="6A737B"/>
      </a:accent6>
      <a:hlink>
        <a:srgbClr val="757575"/>
      </a:hlink>
      <a:folHlink>
        <a:srgbClr val="AEAEA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0653A9-EC2F-4537-BC8A-8AB85DA232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CF02B0-612C-453A-9169-D03E8C5B4C6A}">
  <ds:schemaRefs>
    <ds:schemaRef ds:uri="http://schemas.openxmlformats.org/officeDocument/2006/bibliography"/>
  </ds:schemaRefs>
</ds:datastoreItem>
</file>

<file path=customXml/itemProps3.xml><?xml version="1.0" encoding="utf-8"?>
<ds:datastoreItem xmlns:ds="http://schemas.openxmlformats.org/officeDocument/2006/customXml" ds:itemID="{BB36F84A-BC65-4A65-859B-B3F50D6E317E}">
  <ds:schemaRefs>
    <ds:schemaRef ds:uri="http://schemas.microsoft.com/sharepoint/v3/contenttype/forms"/>
  </ds:schemaRefs>
</ds:datastoreItem>
</file>

<file path=customXml/itemProps4.xml><?xml version="1.0" encoding="utf-8"?>
<ds:datastoreItem xmlns:ds="http://schemas.openxmlformats.org/officeDocument/2006/customXml" ds:itemID="{A8F8C477-5CA0-4807-8076-FFCF8265A155}"/>
</file>

<file path=docProps/app.xml><?xml version="1.0" encoding="utf-8"?>
<Properties xmlns="http://schemas.openxmlformats.org/officeDocument/2006/extended-properties" xmlns:vt="http://schemas.openxmlformats.org/officeDocument/2006/docPropsVTypes">
  <Template>Normal</Template>
  <TotalTime>9</TotalTime>
  <Pages>10</Pages>
  <Words>3149</Words>
  <Characters>17954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Institutional contacts</vt:lpstr>
    </vt:vector>
  </TitlesOfParts>
  <Company>The University of Melbourne</Company>
  <LinksUpToDate>false</LinksUpToDate>
  <CharactersWithSpaces>21061</CharactersWithSpaces>
  <SharedDoc>false</SharedDoc>
  <HLinks>
    <vt:vector size="42" baseType="variant">
      <vt:variant>
        <vt:i4>1572912</vt:i4>
      </vt:variant>
      <vt:variant>
        <vt:i4>35</vt:i4>
      </vt:variant>
      <vt:variant>
        <vt:i4>0</vt:i4>
      </vt:variant>
      <vt:variant>
        <vt:i4>5</vt:i4>
      </vt:variant>
      <vt:variant>
        <vt:lpwstr/>
      </vt:variant>
      <vt:variant>
        <vt:lpwstr>_Toc259028920</vt:lpwstr>
      </vt:variant>
      <vt:variant>
        <vt:i4>1769520</vt:i4>
      </vt:variant>
      <vt:variant>
        <vt:i4>29</vt:i4>
      </vt:variant>
      <vt:variant>
        <vt:i4>0</vt:i4>
      </vt:variant>
      <vt:variant>
        <vt:i4>5</vt:i4>
      </vt:variant>
      <vt:variant>
        <vt:lpwstr/>
      </vt:variant>
      <vt:variant>
        <vt:lpwstr>_Toc259028919</vt:lpwstr>
      </vt:variant>
      <vt:variant>
        <vt:i4>1769520</vt:i4>
      </vt:variant>
      <vt:variant>
        <vt:i4>23</vt:i4>
      </vt:variant>
      <vt:variant>
        <vt:i4>0</vt:i4>
      </vt:variant>
      <vt:variant>
        <vt:i4>5</vt:i4>
      </vt:variant>
      <vt:variant>
        <vt:lpwstr/>
      </vt:variant>
      <vt:variant>
        <vt:lpwstr>_Toc259028918</vt:lpwstr>
      </vt:variant>
      <vt:variant>
        <vt:i4>1769520</vt:i4>
      </vt:variant>
      <vt:variant>
        <vt:i4>17</vt:i4>
      </vt:variant>
      <vt:variant>
        <vt:i4>0</vt:i4>
      </vt:variant>
      <vt:variant>
        <vt:i4>5</vt:i4>
      </vt:variant>
      <vt:variant>
        <vt:lpwstr/>
      </vt:variant>
      <vt:variant>
        <vt:lpwstr>_Toc259028917</vt:lpwstr>
      </vt:variant>
      <vt:variant>
        <vt:i4>1769520</vt:i4>
      </vt:variant>
      <vt:variant>
        <vt:i4>11</vt:i4>
      </vt:variant>
      <vt:variant>
        <vt:i4>0</vt:i4>
      </vt:variant>
      <vt:variant>
        <vt:i4>5</vt:i4>
      </vt:variant>
      <vt:variant>
        <vt:lpwstr/>
      </vt:variant>
      <vt:variant>
        <vt:lpwstr>_Toc259028916</vt:lpwstr>
      </vt:variant>
      <vt:variant>
        <vt:i4>1769501</vt:i4>
      </vt:variant>
      <vt:variant>
        <vt:i4>6</vt:i4>
      </vt:variant>
      <vt:variant>
        <vt:i4>0</vt:i4>
      </vt:variant>
      <vt:variant>
        <vt:i4>5</vt:i4>
      </vt:variant>
      <vt:variant>
        <vt:lpwstr>http://www.grattan.edu.au/signup.html</vt:lpwstr>
      </vt:variant>
      <vt:variant>
        <vt:lpwstr/>
      </vt:variant>
      <vt:variant>
        <vt:i4>5177372</vt:i4>
      </vt:variant>
      <vt:variant>
        <vt:i4>3</vt:i4>
      </vt:variant>
      <vt:variant>
        <vt:i4>0</vt:i4>
      </vt:variant>
      <vt:variant>
        <vt:i4>5</vt:i4>
      </vt:variant>
      <vt:variant>
        <vt:lpwstr>http://www.grattan.edu.au/programs/energy.php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Institutional contacts</dc:title>
  <dc:subject/>
  <dc:creator>Peter Breadon</dc:creator>
  <cp:keywords/>
  <dc:description/>
  <cp:lastModifiedBy>Tony Wood</cp:lastModifiedBy>
  <cp:revision>2</cp:revision>
  <cp:lastPrinted>2020-06-20T04:47:00Z</cp:lastPrinted>
  <dcterms:created xsi:type="dcterms:W3CDTF">2020-10-19T06:57:00Z</dcterms:created>
  <dcterms:modified xsi:type="dcterms:W3CDTF">2020-10-19T06:57:00Z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