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D8043E" w14:textId="77777777" w:rsidR="0003528C" w:rsidRDefault="0003528C" w:rsidP="0003528C">
      <w:pPr>
        <w:rPr>
          <w:rFonts w:eastAsia="Times New Roman" w:cstheme="minorHAnsi"/>
          <w:b/>
          <w:bCs/>
          <w:color w:val="000000"/>
          <w:szCs w:val="22"/>
          <w:lang w:val="en-AU"/>
        </w:rPr>
      </w:pPr>
      <w:bookmarkStart w:id="0" w:name="_Toc521919673"/>
    </w:p>
    <w:p w14:paraId="3F797EF8" w14:textId="0AF0D996" w:rsidR="0003528C" w:rsidRPr="0003528C" w:rsidRDefault="0003528C" w:rsidP="0003528C">
      <w:pPr>
        <w:rPr>
          <w:rFonts w:eastAsia="Times New Roman" w:cstheme="minorHAnsi"/>
          <w:color w:val="000000"/>
          <w:szCs w:val="22"/>
          <w:lang w:val="en-AU"/>
        </w:rPr>
      </w:pPr>
      <w:r w:rsidRPr="0003528C">
        <w:rPr>
          <w:rFonts w:eastAsia="Times New Roman" w:cstheme="minorHAnsi"/>
          <w:b/>
          <w:bCs/>
          <w:color w:val="000000"/>
          <w:szCs w:val="22"/>
          <w:lang w:val="en-AU"/>
        </w:rPr>
        <w:t>Attn: Dr Kerry Schott AO</w:t>
      </w:r>
      <w:r w:rsidRPr="0003528C">
        <w:rPr>
          <w:rFonts w:eastAsia="Times New Roman" w:cstheme="minorHAnsi"/>
          <w:b/>
          <w:bCs/>
          <w:color w:val="000000"/>
          <w:szCs w:val="22"/>
          <w:lang w:val="en-AU"/>
        </w:rPr>
        <w:br/>
        <w:t>Chair, Energy Security Board</w:t>
      </w:r>
      <w:r w:rsidRPr="0003528C">
        <w:rPr>
          <w:rFonts w:eastAsia="Times New Roman" w:cstheme="minorHAnsi"/>
          <w:b/>
          <w:bCs/>
          <w:color w:val="000000"/>
          <w:szCs w:val="22"/>
          <w:lang w:val="en-AU"/>
        </w:rPr>
        <w:br/>
      </w:r>
      <w:r>
        <w:rPr>
          <w:rFonts w:eastAsia="Times New Roman" w:cstheme="minorHAnsi"/>
          <w:color w:val="000000"/>
          <w:szCs w:val="22"/>
          <w:lang w:val="en-AU"/>
        </w:rPr>
        <w:br/>
      </w:r>
      <w:r w:rsidRPr="0003528C">
        <w:rPr>
          <w:rFonts w:eastAsia="Times New Roman" w:cstheme="minorHAnsi"/>
          <w:color w:val="000000"/>
          <w:szCs w:val="22"/>
          <w:lang w:val="en-AU"/>
        </w:rPr>
        <w:t xml:space="preserve">Submitted via email to: info@esb.org.au </w:t>
      </w:r>
    </w:p>
    <w:p w14:paraId="3308CE6E" w14:textId="45E909EA" w:rsidR="0003528C" w:rsidRPr="0003528C" w:rsidRDefault="00DC6748" w:rsidP="0003528C">
      <w:pPr>
        <w:rPr>
          <w:rFonts w:eastAsia="Times New Roman" w:cstheme="minorHAnsi"/>
          <w:color w:val="000000"/>
          <w:szCs w:val="22"/>
          <w:lang w:val="en-AU"/>
        </w:rPr>
      </w:pPr>
      <w:r>
        <w:rPr>
          <w:rFonts w:eastAsia="Times New Roman" w:cstheme="minorHAnsi"/>
          <w:color w:val="000000"/>
          <w:szCs w:val="22"/>
          <w:lang w:val="en-AU"/>
        </w:rPr>
        <w:t>19</w:t>
      </w:r>
      <w:r w:rsidR="0003528C" w:rsidRPr="0003528C">
        <w:rPr>
          <w:rFonts w:eastAsia="Times New Roman" w:cstheme="minorHAnsi"/>
          <w:color w:val="000000"/>
          <w:szCs w:val="22"/>
          <w:lang w:val="en-AU"/>
        </w:rPr>
        <w:t xml:space="preserve"> </w:t>
      </w:r>
      <w:r>
        <w:rPr>
          <w:rFonts w:eastAsia="Times New Roman" w:cstheme="minorHAnsi"/>
          <w:color w:val="000000"/>
          <w:szCs w:val="22"/>
          <w:lang w:val="en-AU"/>
        </w:rPr>
        <w:t>October</w:t>
      </w:r>
      <w:r w:rsidR="0003528C" w:rsidRPr="0003528C">
        <w:rPr>
          <w:rFonts w:eastAsia="Times New Roman" w:cstheme="minorHAnsi"/>
          <w:color w:val="000000"/>
          <w:szCs w:val="22"/>
          <w:lang w:val="en-AU"/>
        </w:rPr>
        <w:t xml:space="preserve"> 2020</w:t>
      </w:r>
    </w:p>
    <w:p w14:paraId="32389359" w14:textId="77777777" w:rsidR="0003528C" w:rsidRDefault="0003528C" w:rsidP="00CA2C05">
      <w:pPr>
        <w:pStyle w:val="Title"/>
        <w:rPr>
          <w:lang w:val="en-AU"/>
        </w:rPr>
      </w:pPr>
    </w:p>
    <w:p w14:paraId="3D507C21" w14:textId="77777777" w:rsidR="00DC6748" w:rsidRDefault="00CA2C05" w:rsidP="00CA2C05">
      <w:pPr>
        <w:pStyle w:val="Title"/>
        <w:rPr>
          <w:lang w:val="en-AU"/>
        </w:rPr>
      </w:pPr>
      <w:r w:rsidRPr="00A94BBE">
        <w:rPr>
          <w:lang w:val="en-AU"/>
        </w:rPr>
        <w:t>E</w:t>
      </w:r>
      <w:r w:rsidR="009C1BA7" w:rsidRPr="00A94BBE">
        <w:rPr>
          <w:lang w:val="en-AU"/>
        </w:rPr>
        <w:t xml:space="preserve">nergy </w:t>
      </w:r>
      <w:r w:rsidRPr="00A94BBE">
        <w:rPr>
          <w:lang w:val="en-AU"/>
        </w:rPr>
        <w:t>S</w:t>
      </w:r>
      <w:r w:rsidR="009C1BA7" w:rsidRPr="00A94BBE">
        <w:rPr>
          <w:lang w:val="en-AU"/>
        </w:rPr>
        <w:t xml:space="preserve">ecurity </w:t>
      </w:r>
      <w:r w:rsidRPr="00A94BBE">
        <w:rPr>
          <w:lang w:val="en-AU"/>
        </w:rPr>
        <w:t>B</w:t>
      </w:r>
      <w:r w:rsidR="009C1BA7" w:rsidRPr="00A94BBE">
        <w:rPr>
          <w:lang w:val="en-AU"/>
        </w:rPr>
        <w:t>oard</w:t>
      </w:r>
      <w:r w:rsidRPr="00A94BBE">
        <w:rPr>
          <w:lang w:val="en-AU"/>
        </w:rPr>
        <w:t xml:space="preserve"> </w:t>
      </w:r>
    </w:p>
    <w:p w14:paraId="64DA1F72" w14:textId="77777777" w:rsidR="00DC6748" w:rsidRDefault="00DC6748" w:rsidP="00CA2C05">
      <w:pPr>
        <w:pStyle w:val="Title"/>
        <w:rPr>
          <w:lang w:val="en-AU"/>
        </w:rPr>
      </w:pPr>
      <w:r>
        <w:rPr>
          <w:lang w:val="en-AU"/>
        </w:rPr>
        <w:t>Post 2025 Market Design</w:t>
      </w:r>
    </w:p>
    <w:p w14:paraId="52BF2477" w14:textId="1EF53EC5" w:rsidR="00CA2C05" w:rsidRPr="00A94BBE" w:rsidRDefault="009C1BA7" w:rsidP="009C1BA7">
      <w:pPr>
        <w:pStyle w:val="Subtitle"/>
        <w:rPr>
          <w:rFonts w:cstheme="minorHAnsi"/>
          <w:lang w:val="en-AU"/>
        </w:rPr>
      </w:pPr>
      <w:r w:rsidRPr="00A94BBE">
        <w:rPr>
          <w:lang w:val="en-AU"/>
        </w:rPr>
        <w:t>IEEFA’s Response to Consultation Paper</w:t>
      </w:r>
    </w:p>
    <w:p w14:paraId="34FF86AD" w14:textId="77777777" w:rsidR="00CA2C05" w:rsidRPr="00A94BBE" w:rsidRDefault="00CA2C05" w:rsidP="009C1BA7">
      <w:pPr>
        <w:pStyle w:val="Heading1"/>
        <w:rPr>
          <w:rFonts w:eastAsia="Times New Roman"/>
          <w:lang w:val="en-AU"/>
        </w:rPr>
      </w:pPr>
      <w:r w:rsidRPr="00A94BBE">
        <w:rPr>
          <w:rFonts w:eastAsia="Times New Roman"/>
          <w:lang w:val="en-AU"/>
        </w:rPr>
        <w:t>Introduction</w:t>
      </w:r>
    </w:p>
    <w:p w14:paraId="0F4B7137" w14:textId="01492AD0"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 xml:space="preserve">As a public interest thinktank, the </w:t>
      </w:r>
      <w:hyperlink r:id="rId8" w:history="1">
        <w:r w:rsidRPr="003008A0">
          <w:rPr>
            <w:rStyle w:val="Hyperlink"/>
            <w:rFonts w:eastAsia="Times New Roman" w:cstheme="minorHAnsi"/>
            <w:lang w:val="en-AU"/>
          </w:rPr>
          <w:t>Institute for Energy Economics and Financial Analysis</w:t>
        </w:r>
      </w:hyperlink>
      <w:r w:rsidRPr="00A94BBE">
        <w:rPr>
          <w:rFonts w:eastAsia="Times New Roman" w:cstheme="minorHAnsi"/>
          <w:color w:val="000000"/>
          <w:lang w:val="en-AU"/>
        </w:rPr>
        <w:t xml:space="preserve"> (IEEFA) examines energy markets, trends, and policies. The Institute’s mission is to accelerate the transition to a diverse, sustainable and profitable energy economy.</w:t>
      </w:r>
    </w:p>
    <w:p w14:paraId="42730657" w14:textId="77777777" w:rsidR="00DC6748"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 xml:space="preserve">IEEFA is grateful for the opportunity to respond to the Energy Security Board’s </w:t>
      </w:r>
      <w:r w:rsidR="00DC6748">
        <w:rPr>
          <w:rFonts w:eastAsia="Times New Roman" w:cstheme="minorHAnsi"/>
          <w:color w:val="000000"/>
          <w:lang w:val="en-AU"/>
        </w:rPr>
        <w:t>consultation</w:t>
      </w:r>
      <w:r w:rsidRPr="00A94BBE">
        <w:rPr>
          <w:rFonts w:eastAsia="Times New Roman" w:cstheme="minorHAnsi"/>
          <w:color w:val="000000"/>
          <w:lang w:val="en-AU"/>
        </w:rPr>
        <w:t xml:space="preserve"> paper, </w:t>
      </w:r>
      <w:r w:rsidR="00DC6748">
        <w:t>Post 2025 Market Design</w:t>
      </w:r>
      <w:r w:rsidRPr="00A94BBE">
        <w:rPr>
          <w:rFonts w:cstheme="minorHAnsi"/>
          <w:b/>
          <w:bCs/>
          <w:lang w:val="en-AU"/>
        </w:rPr>
        <w:t>,</w:t>
      </w:r>
      <w:r w:rsidRPr="00A94BBE">
        <w:rPr>
          <w:rFonts w:eastAsia="Times New Roman" w:cstheme="minorHAnsi"/>
          <w:color w:val="000000"/>
          <w:lang w:val="en-AU"/>
        </w:rPr>
        <w:t xml:space="preserve"> released </w:t>
      </w:r>
      <w:r w:rsidR="00DC6748">
        <w:rPr>
          <w:rFonts w:eastAsia="Times New Roman" w:cstheme="minorHAnsi"/>
          <w:color w:val="000000"/>
          <w:lang w:val="en-AU"/>
        </w:rPr>
        <w:t>in September 2020.</w:t>
      </w:r>
    </w:p>
    <w:p w14:paraId="02F1FDDD" w14:textId="4E9DF5D0" w:rsidR="009D675B" w:rsidRDefault="00692F65" w:rsidP="00CA2C05">
      <w:pPr>
        <w:pStyle w:val="BodyText"/>
        <w:rPr>
          <w:rFonts w:eastAsia="Times New Roman" w:cstheme="minorHAnsi"/>
          <w:color w:val="000000"/>
          <w:lang w:val="en-AU"/>
        </w:rPr>
      </w:pPr>
      <w:r>
        <w:rPr>
          <w:rFonts w:eastAsia="Times New Roman" w:cstheme="minorHAnsi"/>
          <w:color w:val="000000"/>
          <w:lang w:val="en-AU"/>
        </w:rPr>
        <w:t xml:space="preserve">Rapid ongoing technological change is creating a serious impediment to the efficient functioning of the National Electricity Market (NEM). </w:t>
      </w:r>
      <w:r w:rsidR="009D675B">
        <w:rPr>
          <w:rFonts w:eastAsia="Times New Roman" w:cstheme="minorHAnsi"/>
          <w:color w:val="000000"/>
          <w:lang w:val="en-AU"/>
        </w:rPr>
        <w:t xml:space="preserve">IEEFA </w:t>
      </w:r>
      <w:r w:rsidR="00AF0E95">
        <w:rPr>
          <w:rFonts w:eastAsia="Times New Roman" w:cstheme="minorHAnsi"/>
          <w:color w:val="000000"/>
          <w:lang w:val="en-AU"/>
        </w:rPr>
        <w:t>agrees with</w:t>
      </w:r>
      <w:r w:rsidR="009D675B">
        <w:rPr>
          <w:rFonts w:eastAsia="Times New Roman" w:cstheme="minorHAnsi"/>
          <w:color w:val="000000"/>
          <w:lang w:val="en-AU"/>
        </w:rPr>
        <w:t xml:space="preserve"> the ESB’s assessment of the inadequacy of the existing NEM design to meet the requirements of consumers and market participants, both now and into the future.</w:t>
      </w:r>
      <w:r w:rsidR="00422519">
        <w:rPr>
          <w:rFonts w:eastAsia="Times New Roman" w:cstheme="minorHAnsi"/>
          <w:color w:val="000000"/>
          <w:lang w:val="en-AU"/>
        </w:rPr>
        <w:t xml:space="preserve"> </w:t>
      </w:r>
      <w:r w:rsidR="00764327">
        <w:rPr>
          <w:rFonts w:eastAsia="Times New Roman" w:cstheme="minorHAnsi"/>
          <w:color w:val="000000"/>
          <w:lang w:val="en-AU"/>
        </w:rPr>
        <w:t xml:space="preserve">From the perspective of a </w:t>
      </w:r>
      <w:r w:rsidR="009D675B">
        <w:rPr>
          <w:rFonts w:eastAsia="Times New Roman" w:cstheme="minorHAnsi"/>
          <w:color w:val="000000"/>
          <w:lang w:val="en-AU"/>
        </w:rPr>
        <w:t xml:space="preserve">market observer, IEEFA </w:t>
      </w:r>
      <w:r w:rsidR="003E7B86">
        <w:rPr>
          <w:rFonts w:eastAsia="Times New Roman" w:cstheme="minorHAnsi"/>
          <w:color w:val="000000"/>
          <w:lang w:val="en-AU"/>
        </w:rPr>
        <w:t xml:space="preserve">is pleased to </w:t>
      </w:r>
      <w:r w:rsidR="009D675B">
        <w:rPr>
          <w:rFonts w:eastAsia="Times New Roman" w:cstheme="minorHAnsi"/>
          <w:color w:val="000000"/>
          <w:lang w:val="en-AU"/>
        </w:rPr>
        <w:t>offer</w:t>
      </w:r>
      <w:r w:rsidR="003E7B86">
        <w:rPr>
          <w:rFonts w:eastAsia="Times New Roman" w:cstheme="minorHAnsi"/>
          <w:color w:val="000000"/>
          <w:lang w:val="en-AU"/>
        </w:rPr>
        <w:t xml:space="preserve"> </w:t>
      </w:r>
      <w:r w:rsidR="009D675B">
        <w:rPr>
          <w:rFonts w:eastAsia="Times New Roman" w:cstheme="minorHAnsi"/>
          <w:color w:val="000000"/>
          <w:lang w:val="en-AU"/>
        </w:rPr>
        <w:t>high-level response</w:t>
      </w:r>
      <w:r w:rsidR="00764327">
        <w:rPr>
          <w:rFonts w:eastAsia="Times New Roman" w:cstheme="minorHAnsi"/>
          <w:color w:val="000000"/>
          <w:lang w:val="en-AU"/>
        </w:rPr>
        <w:t>s</w:t>
      </w:r>
      <w:r w:rsidR="009D675B">
        <w:rPr>
          <w:rFonts w:eastAsia="Times New Roman" w:cstheme="minorHAnsi"/>
          <w:color w:val="000000"/>
          <w:lang w:val="en-AU"/>
        </w:rPr>
        <w:t xml:space="preserve"> to selected questions in the consultation paper</w:t>
      </w:r>
      <w:r w:rsidR="003E7B86">
        <w:rPr>
          <w:rFonts w:eastAsia="Times New Roman" w:cstheme="minorHAnsi"/>
          <w:color w:val="000000"/>
          <w:lang w:val="en-AU"/>
        </w:rPr>
        <w:t xml:space="preserve">. </w:t>
      </w:r>
    </w:p>
    <w:p w14:paraId="44DA8101" w14:textId="5E5D2529" w:rsidR="009D675B" w:rsidRDefault="009D675B" w:rsidP="00CA2C05">
      <w:pPr>
        <w:pStyle w:val="BodyText"/>
        <w:rPr>
          <w:rFonts w:eastAsia="Times New Roman" w:cstheme="minorHAnsi"/>
          <w:color w:val="000000"/>
          <w:lang w:val="en-AU"/>
        </w:rPr>
      </w:pPr>
      <w:r>
        <w:rPr>
          <w:rFonts w:eastAsia="Times New Roman" w:cstheme="minorHAnsi"/>
          <w:color w:val="000000"/>
          <w:lang w:val="en-AU"/>
        </w:rPr>
        <w:t xml:space="preserve">Referring to the </w:t>
      </w:r>
      <w:r w:rsidRPr="009D675B">
        <w:rPr>
          <w:rFonts w:eastAsia="Times New Roman" w:cstheme="minorHAnsi"/>
          <w:i/>
          <w:iCs/>
          <w:color w:val="000000"/>
          <w:lang w:val="en-AU"/>
        </w:rPr>
        <w:t>Summary of Questions for stakeholders</w:t>
      </w:r>
      <w:r>
        <w:rPr>
          <w:rFonts w:eastAsia="Times New Roman" w:cstheme="minorHAnsi"/>
          <w:color w:val="000000"/>
          <w:lang w:val="en-AU"/>
        </w:rPr>
        <w:t xml:space="preserve"> included as an Appendix in the Consultation Paper, our selected responses are as follows.</w:t>
      </w:r>
    </w:p>
    <w:tbl>
      <w:tblPr>
        <w:tblW w:w="0" w:type="auto"/>
        <w:tblBorders>
          <w:top w:val="nil"/>
          <w:left w:val="nil"/>
          <w:bottom w:val="nil"/>
          <w:right w:val="nil"/>
        </w:tblBorders>
        <w:tblLayout w:type="fixed"/>
        <w:tblLook w:val="0000" w:firstRow="0" w:lastRow="0" w:firstColumn="0" w:lastColumn="0" w:noHBand="0" w:noVBand="0"/>
      </w:tblPr>
      <w:tblGrid>
        <w:gridCol w:w="1276"/>
        <w:gridCol w:w="6946"/>
      </w:tblGrid>
      <w:tr w:rsidR="00B35EA1" w:rsidRPr="00B35EA1" w14:paraId="47178A25" w14:textId="77777777" w:rsidTr="001F488F">
        <w:trPr>
          <w:trHeight w:val="103"/>
        </w:trPr>
        <w:tc>
          <w:tcPr>
            <w:tcW w:w="1276" w:type="dxa"/>
          </w:tcPr>
          <w:p w14:paraId="3951A7E1"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b/>
                <w:bCs/>
                <w:color w:val="000000"/>
                <w:szCs w:val="22"/>
                <w:lang w:eastAsia="en-US"/>
              </w:rPr>
              <w:t xml:space="preserve">Section 1 </w:t>
            </w:r>
          </w:p>
        </w:tc>
        <w:tc>
          <w:tcPr>
            <w:tcW w:w="6946" w:type="dxa"/>
          </w:tcPr>
          <w:p w14:paraId="0CA23D54"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b/>
                <w:bCs/>
                <w:color w:val="000000"/>
                <w:szCs w:val="22"/>
                <w:lang w:eastAsia="en-US"/>
              </w:rPr>
              <w:t xml:space="preserve">Consultation and Submissions </w:t>
            </w:r>
          </w:p>
        </w:tc>
      </w:tr>
      <w:tr w:rsidR="00B35EA1" w:rsidRPr="00B35EA1" w14:paraId="35EFB95E" w14:textId="77777777" w:rsidTr="001F488F">
        <w:trPr>
          <w:trHeight w:val="483"/>
        </w:trPr>
        <w:tc>
          <w:tcPr>
            <w:tcW w:w="1276" w:type="dxa"/>
          </w:tcPr>
          <w:p w14:paraId="6D1B83FB"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1 </w:t>
            </w:r>
          </w:p>
        </w:tc>
        <w:tc>
          <w:tcPr>
            <w:tcW w:w="6946" w:type="dxa"/>
          </w:tcPr>
          <w:p w14:paraId="5EA42C6E" w14:textId="77777777" w:rsid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The potential solutions and how well the characteristics of these solutions address the challenges identified with the current market design. Where alternative solutions can be identified for discussion, these would also be welcome. </w:t>
            </w:r>
          </w:p>
          <w:p w14:paraId="2BAADF68" w14:textId="77777777" w:rsidR="003E7B86" w:rsidRDefault="003E7B86" w:rsidP="00B35EA1">
            <w:pPr>
              <w:autoSpaceDE w:val="0"/>
              <w:autoSpaceDN w:val="0"/>
              <w:adjustRightInd w:val="0"/>
              <w:snapToGrid/>
              <w:rPr>
                <w:rFonts w:cs="Arial"/>
                <w:color w:val="000000"/>
                <w:szCs w:val="22"/>
                <w:lang w:eastAsia="en-US"/>
              </w:rPr>
            </w:pPr>
          </w:p>
          <w:p w14:paraId="3DE6B761" w14:textId="28AC862C" w:rsidR="00764327" w:rsidRPr="009676C3" w:rsidRDefault="003E7B86" w:rsidP="00B35EA1">
            <w:pPr>
              <w:autoSpaceDE w:val="0"/>
              <w:autoSpaceDN w:val="0"/>
              <w:adjustRightInd w:val="0"/>
              <w:snapToGrid/>
              <w:rPr>
                <w:rFonts w:cs="Arial"/>
                <w:color w:val="7030A0"/>
                <w:szCs w:val="22"/>
                <w:lang w:eastAsia="en-US"/>
              </w:rPr>
            </w:pPr>
            <w:r w:rsidRPr="009676C3">
              <w:rPr>
                <w:rFonts w:cs="Arial"/>
                <w:color w:val="7030A0"/>
                <w:szCs w:val="22"/>
                <w:lang w:eastAsia="en-US"/>
              </w:rPr>
              <w:t>We note the increasingly difficult task AEMO has in operating the NEM</w:t>
            </w:r>
            <w:r w:rsidR="00764327" w:rsidRPr="009676C3">
              <w:rPr>
                <w:rFonts w:cs="Arial"/>
                <w:color w:val="7030A0"/>
                <w:szCs w:val="22"/>
                <w:lang w:eastAsia="en-US"/>
              </w:rPr>
              <w:t>, and the imperative for change. Perhaps the most significant challenge is the need to maintain downward pressure on consumer prices, while also creating long-term wholesale price signals that will drive investment</w:t>
            </w:r>
            <w:r w:rsidR="00422519">
              <w:rPr>
                <w:rFonts w:cs="Arial"/>
                <w:color w:val="7030A0"/>
                <w:szCs w:val="22"/>
                <w:lang w:eastAsia="en-US"/>
              </w:rPr>
              <w:t xml:space="preserve"> that avoids stranded asset risks associated with climate change</w:t>
            </w:r>
            <w:r w:rsidR="00764327" w:rsidRPr="009676C3">
              <w:rPr>
                <w:rFonts w:cs="Arial"/>
                <w:color w:val="7030A0"/>
                <w:szCs w:val="22"/>
                <w:lang w:eastAsia="en-US"/>
              </w:rPr>
              <w:t xml:space="preserve">. It is a simple fact that the energy transition, as it will </w:t>
            </w:r>
            <w:r w:rsidR="00D25CB7">
              <w:rPr>
                <w:rFonts w:cs="Arial"/>
                <w:color w:val="7030A0"/>
                <w:szCs w:val="22"/>
                <w:lang w:eastAsia="en-US"/>
              </w:rPr>
              <w:t>occur</w:t>
            </w:r>
            <w:r w:rsidR="00764327" w:rsidRPr="009676C3">
              <w:rPr>
                <w:rFonts w:cs="Arial"/>
                <w:color w:val="7030A0"/>
                <w:szCs w:val="22"/>
                <w:lang w:eastAsia="en-US"/>
              </w:rPr>
              <w:t xml:space="preserve"> in the NEM, will come at a substantial cost. But it is inevitable.</w:t>
            </w:r>
            <w:r w:rsidR="00422519">
              <w:rPr>
                <w:rFonts w:cs="Arial"/>
                <w:color w:val="7030A0"/>
                <w:szCs w:val="22"/>
                <w:lang w:eastAsia="en-US"/>
              </w:rPr>
              <w:t xml:space="preserve"> As is the need for decarbonisation, even absent any Federal Government priority on this critical national imperative.</w:t>
            </w:r>
          </w:p>
          <w:p w14:paraId="7E2BE8F8" w14:textId="77777777" w:rsidR="00764327" w:rsidRPr="009676C3" w:rsidRDefault="00764327" w:rsidP="00B35EA1">
            <w:pPr>
              <w:autoSpaceDE w:val="0"/>
              <w:autoSpaceDN w:val="0"/>
              <w:adjustRightInd w:val="0"/>
              <w:snapToGrid/>
              <w:rPr>
                <w:rFonts w:cs="Arial"/>
                <w:color w:val="7030A0"/>
                <w:szCs w:val="22"/>
                <w:lang w:eastAsia="en-US"/>
              </w:rPr>
            </w:pPr>
          </w:p>
          <w:p w14:paraId="1D9EE246" w14:textId="77777777" w:rsidR="00764327" w:rsidRPr="009676C3" w:rsidRDefault="00764327" w:rsidP="00B35EA1">
            <w:pPr>
              <w:autoSpaceDE w:val="0"/>
              <w:autoSpaceDN w:val="0"/>
              <w:adjustRightInd w:val="0"/>
              <w:snapToGrid/>
              <w:rPr>
                <w:rFonts w:cs="Arial"/>
                <w:color w:val="7030A0"/>
                <w:szCs w:val="22"/>
                <w:lang w:eastAsia="en-US"/>
              </w:rPr>
            </w:pPr>
            <w:r w:rsidRPr="009676C3">
              <w:rPr>
                <w:rFonts w:cs="Arial"/>
                <w:color w:val="7030A0"/>
                <w:szCs w:val="22"/>
                <w:lang w:eastAsia="en-US"/>
              </w:rPr>
              <w:lastRenderedPageBreak/>
              <w:t xml:space="preserve">Consumers will pay for the transition, so all of the complex measures proposed for consideration in the paper that address these price challenges are important. </w:t>
            </w:r>
          </w:p>
          <w:p w14:paraId="139152B6" w14:textId="77777777" w:rsidR="00764327" w:rsidRPr="009676C3" w:rsidRDefault="00764327" w:rsidP="00B35EA1">
            <w:pPr>
              <w:autoSpaceDE w:val="0"/>
              <w:autoSpaceDN w:val="0"/>
              <w:adjustRightInd w:val="0"/>
              <w:snapToGrid/>
              <w:rPr>
                <w:rFonts w:cs="Arial"/>
                <w:color w:val="7030A0"/>
                <w:szCs w:val="22"/>
                <w:lang w:eastAsia="en-US"/>
              </w:rPr>
            </w:pPr>
          </w:p>
          <w:p w14:paraId="0E8EA38C" w14:textId="09DBE9C8" w:rsidR="00764327" w:rsidRPr="009676C3" w:rsidRDefault="00764327" w:rsidP="00B35EA1">
            <w:pPr>
              <w:autoSpaceDE w:val="0"/>
              <w:autoSpaceDN w:val="0"/>
              <w:adjustRightInd w:val="0"/>
              <w:snapToGrid/>
              <w:rPr>
                <w:rFonts w:cs="Arial"/>
                <w:color w:val="7030A0"/>
                <w:szCs w:val="22"/>
                <w:lang w:eastAsia="en-US"/>
              </w:rPr>
            </w:pPr>
            <w:r w:rsidRPr="009676C3">
              <w:rPr>
                <w:rFonts w:cs="Arial"/>
                <w:color w:val="7030A0"/>
                <w:szCs w:val="22"/>
                <w:lang w:eastAsia="en-US"/>
              </w:rPr>
              <w:t>Similarly, a high degree of reliability is now expected. There is a very low tolerance for power outages. However, the</w:t>
            </w:r>
            <w:r w:rsidR="00422519">
              <w:rPr>
                <w:rFonts w:cs="Arial"/>
                <w:color w:val="7030A0"/>
                <w:szCs w:val="22"/>
                <w:lang w:eastAsia="en-US"/>
              </w:rPr>
              <w:t xml:space="preserve"> government’s prioritisation of even</w:t>
            </w:r>
            <w:r w:rsidRPr="009676C3">
              <w:rPr>
                <w:rFonts w:cs="Arial"/>
                <w:color w:val="7030A0"/>
                <w:szCs w:val="22"/>
                <w:lang w:eastAsia="en-US"/>
              </w:rPr>
              <w:t xml:space="preserve"> high</w:t>
            </w:r>
            <w:r w:rsidR="00422519">
              <w:rPr>
                <w:rFonts w:cs="Arial"/>
                <w:color w:val="7030A0"/>
                <w:szCs w:val="22"/>
                <w:lang w:eastAsia="en-US"/>
              </w:rPr>
              <w:t>er</w:t>
            </w:r>
            <w:r w:rsidRPr="009676C3">
              <w:rPr>
                <w:rFonts w:cs="Arial"/>
                <w:color w:val="7030A0"/>
                <w:szCs w:val="22"/>
                <w:lang w:eastAsia="en-US"/>
              </w:rPr>
              <w:t xml:space="preserve"> standards</w:t>
            </w:r>
            <w:r w:rsidR="00422519">
              <w:rPr>
                <w:rFonts w:cs="Arial"/>
                <w:color w:val="7030A0"/>
                <w:szCs w:val="22"/>
                <w:lang w:eastAsia="en-US"/>
              </w:rPr>
              <w:t xml:space="preserve"> being</w:t>
            </w:r>
            <w:r w:rsidRPr="009676C3">
              <w:rPr>
                <w:rFonts w:cs="Arial"/>
                <w:color w:val="7030A0"/>
                <w:szCs w:val="22"/>
                <w:lang w:eastAsia="en-US"/>
              </w:rPr>
              <w:t xml:space="preserve"> expected of the NEM appear to be placing excessive pressure on the range </w:t>
            </w:r>
            <w:r w:rsidR="00422519">
              <w:rPr>
                <w:rFonts w:cs="Arial"/>
                <w:color w:val="7030A0"/>
                <w:szCs w:val="22"/>
                <w:lang w:eastAsia="en-US"/>
              </w:rPr>
              <w:t xml:space="preserve">and cost to consumers </w:t>
            </w:r>
            <w:r w:rsidRPr="009676C3">
              <w:rPr>
                <w:rFonts w:cs="Arial"/>
                <w:color w:val="7030A0"/>
                <w:szCs w:val="22"/>
                <w:lang w:eastAsia="en-US"/>
              </w:rPr>
              <w:t xml:space="preserve">of solutions. The entire NEM has to go through a complete system-level change, and no </w:t>
            </w:r>
            <w:r w:rsidR="00D25CB7">
              <w:rPr>
                <w:rFonts w:cs="Arial"/>
                <w:color w:val="7030A0"/>
                <w:szCs w:val="22"/>
                <w:lang w:eastAsia="en-US"/>
              </w:rPr>
              <w:t xml:space="preserve">one </w:t>
            </w:r>
            <w:r w:rsidRPr="009676C3">
              <w:rPr>
                <w:rFonts w:cs="Arial"/>
                <w:color w:val="7030A0"/>
                <w:szCs w:val="22"/>
                <w:lang w:eastAsia="en-US"/>
              </w:rPr>
              <w:t xml:space="preserve">expects it to be cheap or easy. There should be some level of acceptance that there may be impacts on price and reliability along the way, and that individual consumers (particularly in the Commercial and Industrial sectors) may </w:t>
            </w:r>
            <w:r w:rsidR="00D25CB7">
              <w:rPr>
                <w:rFonts w:cs="Arial"/>
                <w:color w:val="7030A0"/>
                <w:szCs w:val="22"/>
                <w:lang w:eastAsia="en-US"/>
              </w:rPr>
              <w:t>decide</w:t>
            </w:r>
            <w:r w:rsidRPr="009676C3">
              <w:rPr>
                <w:rFonts w:cs="Arial"/>
                <w:color w:val="7030A0"/>
                <w:szCs w:val="22"/>
                <w:lang w:eastAsia="en-US"/>
              </w:rPr>
              <w:t xml:space="preserve"> to provide their own backstops where </w:t>
            </w:r>
            <w:r w:rsidR="00D25CB7">
              <w:rPr>
                <w:rFonts w:cs="Arial"/>
                <w:color w:val="7030A0"/>
                <w:szCs w:val="22"/>
                <w:lang w:eastAsia="en-US"/>
              </w:rPr>
              <w:t xml:space="preserve">reliability is </w:t>
            </w:r>
            <w:r w:rsidRPr="009676C3">
              <w:rPr>
                <w:rFonts w:cs="Arial"/>
                <w:color w:val="7030A0"/>
                <w:szCs w:val="22"/>
                <w:lang w:eastAsia="en-US"/>
              </w:rPr>
              <w:t>critical.</w:t>
            </w:r>
          </w:p>
          <w:p w14:paraId="53F50700" w14:textId="7A1A7BC4" w:rsidR="00764327" w:rsidRPr="009676C3" w:rsidRDefault="00764327" w:rsidP="00B35EA1">
            <w:pPr>
              <w:autoSpaceDE w:val="0"/>
              <w:autoSpaceDN w:val="0"/>
              <w:adjustRightInd w:val="0"/>
              <w:snapToGrid/>
              <w:rPr>
                <w:rFonts w:cs="Arial"/>
                <w:color w:val="7030A0"/>
                <w:szCs w:val="22"/>
                <w:lang w:eastAsia="en-US"/>
              </w:rPr>
            </w:pPr>
          </w:p>
          <w:p w14:paraId="650AF634" w14:textId="1CEC1624" w:rsidR="00764327" w:rsidRPr="009676C3" w:rsidRDefault="00764327" w:rsidP="00B35EA1">
            <w:pPr>
              <w:autoSpaceDE w:val="0"/>
              <w:autoSpaceDN w:val="0"/>
              <w:adjustRightInd w:val="0"/>
              <w:snapToGrid/>
              <w:rPr>
                <w:rFonts w:cs="Arial"/>
                <w:color w:val="7030A0"/>
                <w:szCs w:val="22"/>
                <w:lang w:eastAsia="en-US"/>
              </w:rPr>
            </w:pPr>
            <w:r w:rsidRPr="009676C3">
              <w:rPr>
                <w:rFonts w:cs="Arial"/>
                <w:color w:val="7030A0"/>
                <w:szCs w:val="22"/>
                <w:lang w:eastAsia="en-US"/>
              </w:rPr>
              <w:t>Finally, at a very high level, the Post 2025 Market Design is adding or changing markets and mechanisms in order to accommodate the inevitable physical and digital changes in the system</w:t>
            </w:r>
            <w:r w:rsidR="00D25CB7">
              <w:rPr>
                <w:rFonts w:cs="Arial"/>
                <w:color w:val="7030A0"/>
                <w:szCs w:val="22"/>
                <w:lang w:eastAsia="en-US"/>
              </w:rPr>
              <w:t xml:space="preserve">, driven by consumers and the shift to </w:t>
            </w:r>
            <w:r w:rsidR="00422519">
              <w:rPr>
                <w:rFonts w:cs="Arial"/>
                <w:color w:val="7030A0"/>
                <w:szCs w:val="22"/>
                <w:lang w:eastAsia="en-US"/>
              </w:rPr>
              <w:t xml:space="preserve">low cost but intermittent </w:t>
            </w:r>
            <w:r w:rsidR="00D25CB7">
              <w:rPr>
                <w:rFonts w:cs="Arial"/>
                <w:color w:val="7030A0"/>
                <w:szCs w:val="22"/>
                <w:lang w:eastAsia="en-US"/>
              </w:rPr>
              <w:t>renewable energy</w:t>
            </w:r>
            <w:r w:rsidRPr="009676C3">
              <w:rPr>
                <w:rFonts w:cs="Arial"/>
                <w:color w:val="7030A0"/>
                <w:szCs w:val="22"/>
                <w:lang w:eastAsia="en-US"/>
              </w:rPr>
              <w:t>. The potential solutions, and the characteristics of these solutions, appear to address the challenges with the current market design very well. It is well-recognised that the entire system must be overhauled, bit-by-bit, while it continues to operate reliably at an affordable cost. Some of the proposed solutions are derived from experience in overseas markets, and other</w:t>
            </w:r>
            <w:r w:rsidR="00692F65">
              <w:rPr>
                <w:rFonts w:cs="Arial"/>
                <w:color w:val="7030A0"/>
                <w:szCs w:val="22"/>
                <w:lang w:eastAsia="en-US"/>
              </w:rPr>
              <w:t>s</w:t>
            </w:r>
            <w:r w:rsidRPr="009676C3">
              <w:rPr>
                <w:rFonts w:cs="Arial"/>
                <w:color w:val="7030A0"/>
                <w:szCs w:val="22"/>
                <w:lang w:eastAsia="en-US"/>
              </w:rPr>
              <w:t xml:space="preserve"> are original and may be trialled for the first time in Australia</w:t>
            </w:r>
            <w:r w:rsidR="00422519">
              <w:rPr>
                <w:rFonts w:cs="Arial"/>
                <w:color w:val="7030A0"/>
                <w:szCs w:val="22"/>
                <w:lang w:eastAsia="en-US"/>
              </w:rPr>
              <w:t>, particularly given the world-leading nature of our rooftop solar penetration</w:t>
            </w:r>
            <w:r w:rsidRPr="009676C3">
              <w:rPr>
                <w:rFonts w:cs="Arial"/>
                <w:color w:val="7030A0"/>
                <w:szCs w:val="22"/>
                <w:lang w:eastAsia="en-US"/>
              </w:rPr>
              <w:t xml:space="preserve">. Due to the above-mentioned price and reliability pressures, the solutions naturally follow the lowest risk path. Stepping back and thinking about what will be needed in the coming decades could perhaps spark some bold innovative thinking. Rather than bolt-on </w:t>
            </w:r>
            <w:r w:rsidR="00D25CB7">
              <w:rPr>
                <w:rFonts w:cs="Arial"/>
                <w:color w:val="7030A0"/>
                <w:szCs w:val="22"/>
                <w:lang w:eastAsia="en-US"/>
              </w:rPr>
              <w:t xml:space="preserve">low-risk </w:t>
            </w:r>
            <w:r w:rsidRPr="009676C3">
              <w:rPr>
                <w:rFonts w:cs="Arial"/>
                <w:color w:val="7030A0"/>
                <w:szCs w:val="22"/>
                <w:lang w:eastAsia="en-US"/>
              </w:rPr>
              <w:t xml:space="preserve">solutions, is there a grand scheme that is radically different from the existing NEM that </w:t>
            </w:r>
            <w:r w:rsidR="00422519">
              <w:rPr>
                <w:rFonts w:cs="Arial"/>
                <w:color w:val="7030A0"/>
                <w:szCs w:val="22"/>
                <w:lang w:eastAsia="en-US"/>
              </w:rPr>
              <w:t xml:space="preserve">allows a modernisation of the rules to </w:t>
            </w:r>
            <w:r w:rsidRPr="009676C3">
              <w:rPr>
                <w:rFonts w:cs="Arial"/>
                <w:color w:val="7030A0"/>
                <w:szCs w:val="22"/>
                <w:lang w:eastAsia="en-US"/>
              </w:rPr>
              <w:t>solve a majority of the issues</w:t>
            </w:r>
            <w:r w:rsidR="00D25CB7">
              <w:rPr>
                <w:rFonts w:cs="Arial"/>
                <w:color w:val="7030A0"/>
                <w:szCs w:val="22"/>
                <w:lang w:eastAsia="en-US"/>
              </w:rPr>
              <w:t>?</w:t>
            </w:r>
            <w:r w:rsidRPr="009676C3">
              <w:rPr>
                <w:rFonts w:cs="Arial"/>
                <w:color w:val="7030A0"/>
                <w:szCs w:val="22"/>
                <w:lang w:eastAsia="en-US"/>
              </w:rPr>
              <w:t xml:space="preserve"> Perhaps not, but it is worth seriously thinking about.</w:t>
            </w:r>
          </w:p>
          <w:p w14:paraId="53A32C84" w14:textId="3BE8D794" w:rsidR="003E7B86" w:rsidRPr="00B35EA1" w:rsidRDefault="003E7B86" w:rsidP="00B35EA1">
            <w:pPr>
              <w:autoSpaceDE w:val="0"/>
              <w:autoSpaceDN w:val="0"/>
              <w:adjustRightInd w:val="0"/>
              <w:snapToGrid/>
              <w:rPr>
                <w:rFonts w:cs="Arial"/>
                <w:color w:val="000000"/>
                <w:szCs w:val="22"/>
                <w:lang w:eastAsia="en-US"/>
              </w:rPr>
            </w:pPr>
          </w:p>
        </w:tc>
      </w:tr>
      <w:tr w:rsidR="00B35EA1" w:rsidRPr="00B35EA1" w14:paraId="6726332E" w14:textId="77777777" w:rsidTr="001F488F">
        <w:trPr>
          <w:trHeight w:val="231"/>
        </w:trPr>
        <w:tc>
          <w:tcPr>
            <w:tcW w:w="1276" w:type="dxa"/>
          </w:tcPr>
          <w:p w14:paraId="48A716D3"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lastRenderedPageBreak/>
              <w:t xml:space="preserve">2 </w:t>
            </w:r>
          </w:p>
        </w:tc>
        <w:tc>
          <w:tcPr>
            <w:tcW w:w="6946" w:type="dxa"/>
          </w:tcPr>
          <w:p w14:paraId="733AB355" w14:textId="77777777" w:rsid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The proposed timing of the implementation of the changes to the market design and reasons for any alternative timing you may wish to propose. </w:t>
            </w:r>
          </w:p>
          <w:p w14:paraId="675FAB9B" w14:textId="77777777" w:rsidR="003E7B86" w:rsidRDefault="003E7B86" w:rsidP="00B35EA1">
            <w:pPr>
              <w:autoSpaceDE w:val="0"/>
              <w:autoSpaceDN w:val="0"/>
              <w:adjustRightInd w:val="0"/>
              <w:snapToGrid/>
              <w:rPr>
                <w:rFonts w:cs="Arial"/>
                <w:color w:val="000000"/>
                <w:szCs w:val="22"/>
                <w:lang w:eastAsia="en-US"/>
              </w:rPr>
            </w:pPr>
          </w:p>
          <w:p w14:paraId="4A18CAA7" w14:textId="4BE9A547" w:rsidR="00764327" w:rsidRPr="009676C3" w:rsidRDefault="00764327" w:rsidP="00B35EA1">
            <w:pPr>
              <w:autoSpaceDE w:val="0"/>
              <w:autoSpaceDN w:val="0"/>
              <w:adjustRightInd w:val="0"/>
              <w:snapToGrid/>
              <w:rPr>
                <w:rFonts w:cs="Arial"/>
                <w:color w:val="7030A0"/>
                <w:szCs w:val="22"/>
                <w:lang w:eastAsia="en-US"/>
              </w:rPr>
            </w:pPr>
            <w:r w:rsidRPr="009676C3">
              <w:rPr>
                <w:rFonts w:cs="Arial"/>
                <w:color w:val="7030A0"/>
                <w:szCs w:val="22"/>
                <w:lang w:eastAsia="en-US"/>
              </w:rPr>
              <w:t xml:space="preserve">Our separate analyses all point to </w:t>
            </w:r>
            <w:r w:rsidR="009676C3">
              <w:rPr>
                <w:rFonts w:cs="Arial"/>
                <w:color w:val="7030A0"/>
                <w:szCs w:val="22"/>
                <w:lang w:eastAsia="en-US"/>
              </w:rPr>
              <w:t>a</w:t>
            </w:r>
            <w:r w:rsidR="00422519">
              <w:rPr>
                <w:rFonts w:cs="Arial"/>
                <w:color w:val="7030A0"/>
                <w:szCs w:val="22"/>
                <w:lang w:eastAsia="en-US"/>
              </w:rPr>
              <w:t xml:space="preserve"> terminal</w:t>
            </w:r>
            <w:r w:rsidR="009676C3">
              <w:rPr>
                <w:rFonts w:cs="Arial"/>
                <w:color w:val="7030A0"/>
                <w:szCs w:val="22"/>
                <w:lang w:eastAsia="en-US"/>
              </w:rPr>
              <w:t xml:space="preserve"> </w:t>
            </w:r>
            <w:r w:rsidRPr="009676C3">
              <w:rPr>
                <w:rFonts w:cs="Arial"/>
                <w:color w:val="7030A0"/>
                <w:szCs w:val="22"/>
                <w:lang w:eastAsia="en-US"/>
              </w:rPr>
              <w:t xml:space="preserve">decline in the economic viability of </w:t>
            </w:r>
            <w:r w:rsidR="00422519">
              <w:rPr>
                <w:rFonts w:cs="Arial"/>
                <w:color w:val="7030A0"/>
                <w:szCs w:val="22"/>
                <w:lang w:eastAsia="en-US"/>
              </w:rPr>
              <w:t xml:space="preserve">the now technologically obsolete concept of ‘baseload’ </w:t>
            </w:r>
            <w:r w:rsidRPr="009676C3">
              <w:rPr>
                <w:rFonts w:cs="Arial"/>
                <w:color w:val="7030A0"/>
                <w:szCs w:val="22"/>
                <w:lang w:eastAsia="en-US"/>
              </w:rPr>
              <w:t>thermal coal and</w:t>
            </w:r>
            <w:r w:rsidR="00422519">
              <w:rPr>
                <w:rFonts w:cs="Arial"/>
                <w:color w:val="7030A0"/>
                <w:szCs w:val="22"/>
                <w:lang w:eastAsia="en-US"/>
              </w:rPr>
              <w:t xml:space="preserve"> fossil </w:t>
            </w:r>
            <w:r w:rsidRPr="009676C3">
              <w:rPr>
                <w:rFonts w:cs="Arial"/>
                <w:color w:val="7030A0"/>
                <w:szCs w:val="22"/>
                <w:lang w:eastAsia="en-US"/>
              </w:rPr>
              <w:t>gas generation</w:t>
            </w:r>
            <w:r w:rsidR="009676C3">
              <w:rPr>
                <w:rFonts w:cs="Arial"/>
                <w:color w:val="7030A0"/>
                <w:szCs w:val="22"/>
                <w:lang w:eastAsia="en-US"/>
              </w:rPr>
              <w:t xml:space="preserve"> in the coming decade</w:t>
            </w:r>
            <w:r w:rsidRPr="009676C3">
              <w:rPr>
                <w:rFonts w:cs="Arial"/>
                <w:color w:val="7030A0"/>
                <w:szCs w:val="22"/>
                <w:lang w:eastAsia="en-US"/>
              </w:rPr>
              <w:t>.  It is very possible that plant exits will occur earlier than forecast in the ISP</w:t>
            </w:r>
            <w:r w:rsidR="00422519">
              <w:rPr>
                <w:rFonts w:cs="Arial"/>
                <w:color w:val="7030A0"/>
                <w:szCs w:val="22"/>
                <w:lang w:eastAsia="en-US"/>
              </w:rPr>
              <w:t>, with planned investment in major maintenance no longer commercially viable</w:t>
            </w:r>
            <w:r w:rsidRPr="009676C3">
              <w:rPr>
                <w:rFonts w:cs="Arial"/>
                <w:color w:val="7030A0"/>
                <w:szCs w:val="22"/>
                <w:lang w:eastAsia="en-US"/>
              </w:rPr>
              <w:t>.  It is also likely that plant owners will not honour any advance notice directives, and would challenge any penalties, if their plants become terminally uneconomical</w:t>
            </w:r>
            <w:r w:rsidR="00422519">
              <w:rPr>
                <w:rFonts w:cs="Arial"/>
                <w:color w:val="7030A0"/>
                <w:szCs w:val="22"/>
                <w:lang w:eastAsia="en-US"/>
              </w:rPr>
              <w:t xml:space="preserve"> and / or suffer an unexpected, catastrophic failure</w:t>
            </w:r>
            <w:r w:rsidRPr="009676C3">
              <w:rPr>
                <w:rFonts w:cs="Arial"/>
                <w:color w:val="7030A0"/>
                <w:szCs w:val="22"/>
                <w:lang w:eastAsia="en-US"/>
              </w:rPr>
              <w:t>. Therefore, building out replacement capacity</w:t>
            </w:r>
            <w:r w:rsidR="00422519">
              <w:rPr>
                <w:rFonts w:cs="Arial"/>
                <w:color w:val="7030A0"/>
                <w:szCs w:val="22"/>
                <w:lang w:eastAsia="en-US"/>
              </w:rPr>
              <w:t xml:space="preserve"> ahead of time</w:t>
            </w:r>
            <w:r w:rsidRPr="009676C3">
              <w:rPr>
                <w:rFonts w:cs="Arial"/>
                <w:color w:val="7030A0"/>
                <w:szCs w:val="22"/>
                <w:lang w:eastAsia="en-US"/>
              </w:rPr>
              <w:t xml:space="preserve"> is urgent.</w:t>
            </w:r>
          </w:p>
          <w:p w14:paraId="467395A4" w14:textId="77777777" w:rsidR="00764327" w:rsidRPr="009676C3" w:rsidRDefault="00764327" w:rsidP="00B35EA1">
            <w:pPr>
              <w:autoSpaceDE w:val="0"/>
              <w:autoSpaceDN w:val="0"/>
              <w:adjustRightInd w:val="0"/>
              <w:snapToGrid/>
              <w:rPr>
                <w:rFonts w:cs="Arial"/>
                <w:color w:val="7030A0"/>
                <w:szCs w:val="22"/>
                <w:lang w:eastAsia="en-US"/>
              </w:rPr>
            </w:pPr>
          </w:p>
          <w:p w14:paraId="15DA0EF5" w14:textId="5D7668B6" w:rsidR="003E7B86" w:rsidRPr="009676C3" w:rsidRDefault="00764327" w:rsidP="00B35EA1">
            <w:pPr>
              <w:autoSpaceDE w:val="0"/>
              <w:autoSpaceDN w:val="0"/>
              <w:adjustRightInd w:val="0"/>
              <w:snapToGrid/>
              <w:rPr>
                <w:rFonts w:cs="Arial"/>
                <w:color w:val="7030A0"/>
                <w:szCs w:val="22"/>
                <w:lang w:eastAsia="en-US"/>
              </w:rPr>
            </w:pPr>
            <w:r w:rsidRPr="009676C3">
              <w:rPr>
                <w:rFonts w:cs="Arial"/>
                <w:color w:val="7030A0"/>
                <w:szCs w:val="22"/>
                <w:lang w:eastAsia="en-US"/>
              </w:rPr>
              <w:t xml:space="preserve">DER, and the related technologies, </w:t>
            </w:r>
            <w:r w:rsidR="00422519">
              <w:rPr>
                <w:rFonts w:cs="Arial"/>
                <w:color w:val="7030A0"/>
                <w:szCs w:val="22"/>
                <w:lang w:eastAsia="en-US"/>
              </w:rPr>
              <w:t>are commercially viable tools that should be incentivised to play an increasingly important role</w:t>
            </w:r>
            <w:r w:rsidRPr="009676C3">
              <w:rPr>
                <w:rFonts w:cs="Arial"/>
                <w:color w:val="7030A0"/>
                <w:szCs w:val="22"/>
                <w:lang w:eastAsia="en-US"/>
              </w:rPr>
              <w:t>. Market</w:t>
            </w:r>
            <w:r w:rsidR="00422519">
              <w:rPr>
                <w:rFonts w:cs="Arial"/>
                <w:color w:val="7030A0"/>
                <w:szCs w:val="22"/>
                <w:lang w:eastAsia="en-US"/>
              </w:rPr>
              <w:t xml:space="preserve"> </w:t>
            </w:r>
            <w:r w:rsidR="00422519">
              <w:rPr>
                <w:rFonts w:cs="Arial"/>
                <w:color w:val="7030A0"/>
                <w:szCs w:val="22"/>
                <w:lang w:eastAsia="en-US"/>
              </w:rPr>
              <w:lastRenderedPageBreak/>
              <w:t>price signals</w:t>
            </w:r>
            <w:r w:rsidRPr="009676C3">
              <w:rPr>
                <w:rFonts w:cs="Arial"/>
                <w:color w:val="7030A0"/>
                <w:szCs w:val="22"/>
                <w:lang w:eastAsia="en-US"/>
              </w:rPr>
              <w:t xml:space="preserve"> that incentivise DER, and therefore contribute to grid stability and lower prices, should be introduced without delay.</w:t>
            </w:r>
          </w:p>
          <w:p w14:paraId="5827A090" w14:textId="034789BC" w:rsidR="00764327" w:rsidRPr="009676C3" w:rsidRDefault="00764327" w:rsidP="00B35EA1">
            <w:pPr>
              <w:autoSpaceDE w:val="0"/>
              <w:autoSpaceDN w:val="0"/>
              <w:adjustRightInd w:val="0"/>
              <w:snapToGrid/>
              <w:rPr>
                <w:rFonts w:cs="Arial"/>
                <w:color w:val="7030A0"/>
                <w:szCs w:val="22"/>
                <w:lang w:eastAsia="en-US"/>
              </w:rPr>
            </w:pPr>
          </w:p>
          <w:p w14:paraId="6A7BA778" w14:textId="229BF8BE" w:rsidR="00764327" w:rsidRPr="009676C3" w:rsidRDefault="00764327" w:rsidP="00B35EA1">
            <w:pPr>
              <w:autoSpaceDE w:val="0"/>
              <w:autoSpaceDN w:val="0"/>
              <w:adjustRightInd w:val="0"/>
              <w:snapToGrid/>
              <w:rPr>
                <w:rFonts w:cs="Arial"/>
                <w:color w:val="7030A0"/>
                <w:szCs w:val="22"/>
                <w:lang w:eastAsia="en-US"/>
              </w:rPr>
            </w:pPr>
            <w:r w:rsidRPr="009676C3">
              <w:rPr>
                <w:rFonts w:cs="Arial"/>
                <w:color w:val="7030A0"/>
                <w:szCs w:val="22"/>
                <w:lang w:eastAsia="en-US"/>
              </w:rPr>
              <w:t xml:space="preserve">IEEFA appreciates the scale and complexity of the task, but there are </w:t>
            </w:r>
            <w:r w:rsidR="00422519">
              <w:rPr>
                <w:rFonts w:cs="Arial"/>
                <w:color w:val="7030A0"/>
                <w:szCs w:val="22"/>
                <w:lang w:eastAsia="en-US"/>
              </w:rPr>
              <w:t xml:space="preserve">increasingly material </w:t>
            </w:r>
            <w:r w:rsidRPr="009676C3">
              <w:rPr>
                <w:rFonts w:cs="Arial"/>
                <w:color w:val="7030A0"/>
                <w:szCs w:val="22"/>
                <w:lang w:eastAsia="en-US"/>
              </w:rPr>
              <w:t>risks associated with not changing quickly.  The NEM could be faced with early plant closures and inadequate capacity, and DER participants could falter and lose opportunities, or move overseas, because local markets are not available to match their business models</w:t>
            </w:r>
            <w:r w:rsidR="00422519">
              <w:rPr>
                <w:rFonts w:cs="Arial"/>
                <w:color w:val="7030A0"/>
                <w:szCs w:val="22"/>
                <w:lang w:eastAsia="en-US"/>
              </w:rPr>
              <w:t xml:space="preserve">, losing critical demand capacity and undermining </w:t>
            </w:r>
            <w:r w:rsidR="00864FB8">
              <w:rPr>
                <w:rFonts w:cs="Arial"/>
                <w:color w:val="7030A0"/>
                <w:szCs w:val="22"/>
                <w:lang w:eastAsia="en-US"/>
              </w:rPr>
              <w:t>Australia’s national security as core manufacturing industries like steel and aluminium continue to be undermined by a lack of a long term energy and climate policy clarity here</w:t>
            </w:r>
            <w:r w:rsidRPr="009676C3">
              <w:rPr>
                <w:rFonts w:cs="Arial"/>
                <w:color w:val="7030A0"/>
                <w:szCs w:val="22"/>
                <w:lang w:eastAsia="en-US"/>
              </w:rPr>
              <w:t>.</w:t>
            </w:r>
            <w:r w:rsidR="00864FB8">
              <w:rPr>
                <w:rFonts w:cs="Arial"/>
                <w:color w:val="7030A0"/>
                <w:szCs w:val="22"/>
                <w:lang w:eastAsia="en-US"/>
              </w:rPr>
              <w:t xml:space="preserve"> Rio Tinto’s July 2020 announced closure of the Tiwai Point aluminium refinery in NZ in 2021 is a clear warning for us.</w:t>
            </w:r>
          </w:p>
          <w:p w14:paraId="3DD9C1BE" w14:textId="65EA77A7" w:rsidR="00764327" w:rsidRPr="009676C3" w:rsidRDefault="00764327" w:rsidP="00B35EA1">
            <w:pPr>
              <w:autoSpaceDE w:val="0"/>
              <w:autoSpaceDN w:val="0"/>
              <w:adjustRightInd w:val="0"/>
              <w:snapToGrid/>
              <w:rPr>
                <w:rFonts w:cs="Arial"/>
                <w:color w:val="7030A0"/>
                <w:szCs w:val="22"/>
                <w:lang w:eastAsia="en-US"/>
              </w:rPr>
            </w:pPr>
          </w:p>
          <w:p w14:paraId="0A864761" w14:textId="54A256B5" w:rsidR="003E7B86" w:rsidRPr="009676C3" w:rsidRDefault="00764327" w:rsidP="00B35EA1">
            <w:pPr>
              <w:autoSpaceDE w:val="0"/>
              <w:autoSpaceDN w:val="0"/>
              <w:adjustRightInd w:val="0"/>
              <w:snapToGrid/>
              <w:rPr>
                <w:rFonts w:cs="Arial"/>
                <w:color w:val="7030A0"/>
                <w:szCs w:val="22"/>
                <w:lang w:eastAsia="en-US"/>
              </w:rPr>
            </w:pPr>
            <w:r w:rsidRPr="009676C3">
              <w:rPr>
                <w:rFonts w:cs="Arial"/>
                <w:color w:val="7030A0"/>
                <w:szCs w:val="22"/>
                <w:lang w:eastAsia="en-US"/>
              </w:rPr>
              <w:t>Behind all of the challenges facing the NEM is the national imperative of shifting to a</w:t>
            </w:r>
            <w:r w:rsidR="00864FB8">
              <w:rPr>
                <w:rFonts w:cs="Arial"/>
                <w:color w:val="7030A0"/>
                <w:szCs w:val="22"/>
                <w:lang w:eastAsia="en-US"/>
              </w:rPr>
              <w:t xml:space="preserve"> low cost,</w:t>
            </w:r>
            <w:r w:rsidRPr="009676C3">
              <w:rPr>
                <w:rFonts w:cs="Arial"/>
                <w:color w:val="7030A0"/>
                <w:szCs w:val="22"/>
                <w:lang w:eastAsia="en-US"/>
              </w:rPr>
              <w:t xml:space="preserve"> renewables-based net zero emissions economy. Even bigger challenges will emerge if we delay. Putting aside, for the moment, the Technology Roadmap recently issued by the Federal Minister for Energy and Lowering Emissions, the key to decarbonising the economy is electrification.  The NEM will become ever more important in the process as heavy industry shifts from gas to electric.  Despite the current emphasis on a </w:t>
            </w:r>
            <w:r w:rsidR="00864FB8">
              <w:rPr>
                <w:rFonts w:cs="Arial"/>
                <w:color w:val="7030A0"/>
                <w:szCs w:val="22"/>
                <w:lang w:eastAsia="en-US"/>
              </w:rPr>
              <w:t xml:space="preserve">fossil </w:t>
            </w:r>
            <w:r w:rsidRPr="009676C3">
              <w:rPr>
                <w:rFonts w:cs="Arial"/>
                <w:color w:val="7030A0"/>
                <w:szCs w:val="22"/>
                <w:lang w:eastAsia="en-US"/>
              </w:rPr>
              <w:t>gas-lead recovery, our suggestion would be for the ESB to continue to focus on the Post 2025 market as underpinning a</w:t>
            </w:r>
            <w:r w:rsidR="00864FB8">
              <w:rPr>
                <w:rFonts w:cs="Arial"/>
                <w:color w:val="7030A0"/>
                <w:szCs w:val="22"/>
                <w:lang w:eastAsia="en-US"/>
              </w:rPr>
              <w:t xml:space="preserve"> zero emissions</w:t>
            </w:r>
            <w:r w:rsidRPr="009676C3">
              <w:rPr>
                <w:rFonts w:cs="Arial"/>
                <w:color w:val="7030A0"/>
                <w:szCs w:val="22"/>
                <w:lang w:eastAsia="en-US"/>
              </w:rPr>
              <w:t xml:space="preserve"> electricity-lead recovery.</w:t>
            </w:r>
          </w:p>
          <w:p w14:paraId="70B98B32" w14:textId="191DF188" w:rsidR="001F488F" w:rsidRPr="009676C3" w:rsidRDefault="001F488F" w:rsidP="00B35EA1">
            <w:pPr>
              <w:autoSpaceDE w:val="0"/>
              <w:autoSpaceDN w:val="0"/>
              <w:adjustRightInd w:val="0"/>
              <w:snapToGrid/>
              <w:rPr>
                <w:rFonts w:cs="Arial"/>
                <w:color w:val="7030A0"/>
                <w:szCs w:val="22"/>
                <w:lang w:eastAsia="en-US"/>
              </w:rPr>
            </w:pPr>
          </w:p>
          <w:p w14:paraId="2CC7A555" w14:textId="185E6158" w:rsidR="001F488F" w:rsidRPr="009676C3" w:rsidRDefault="001F488F" w:rsidP="00B35EA1">
            <w:pPr>
              <w:autoSpaceDE w:val="0"/>
              <w:autoSpaceDN w:val="0"/>
              <w:adjustRightInd w:val="0"/>
              <w:snapToGrid/>
              <w:rPr>
                <w:rFonts w:cs="Arial"/>
                <w:color w:val="7030A0"/>
                <w:szCs w:val="22"/>
                <w:lang w:eastAsia="en-US"/>
              </w:rPr>
            </w:pPr>
            <w:r w:rsidRPr="009676C3">
              <w:rPr>
                <w:rFonts w:cs="Arial"/>
                <w:color w:val="7030A0"/>
                <w:szCs w:val="22"/>
                <w:lang w:eastAsia="en-US"/>
              </w:rPr>
              <w:t>If the resources could be made available, our preference would be to see the Phased Market Development (Figure 1 in the Consultation Paper) compressed slightly, to help alleviate above-mentioned risks.</w:t>
            </w:r>
          </w:p>
          <w:p w14:paraId="4D238806" w14:textId="7542460D" w:rsidR="00764327" w:rsidRPr="00B35EA1" w:rsidRDefault="00764327" w:rsidP="00B35EA1">
            <w:pPr>
              <w:autoSpaceDE w:val="0"/>
              <w:autoSpaceDN w:val="0"/>
              <w:adjustRightInd w:val="0"/>
              <w:snapToGrid/>
              <w:rPr>
                <w:rFonts w:cs="Arial"/>
                <w:color w:val="000000"/>
                <w:szCs w:val="22"/>
                <w:lang w:eastAsia="en-US"/>
              </w:rPr>
            </w:pPr>
          </w:p>
        </w:tc>
      </w:tr>
      <w:tr w:rsidR="00B35EA1" w:rsidRPr="00B35EA1" w14:paraId="4CB999E9" w14:textId="77777777" w:rsidTr="001F488F">
        <w:trPr>
          <w:trHeight w:val="483"/>
        </w:trPr>
        <w:tc>
          <w:tcPr>
            <w:tcW w:w="1276" w:type="dxa"/>
          </w:tcPr>
          <w:p w14:paraId="3F866638"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lastRenderedPageBreak/>
              <w:t xml:space="preserve">3 </w:t>
            </w:r>
          </w:p>
        </w:tc>
        <w:tc>
          <w:tcPr>
            <w:tcW w:w="6946" w:type="dxa"/>
          </w:tcPr>
          <w:p w14:paraId="346D945D" w14:textId="5A328BC2" w:rsid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Our proposed approach to classifying the broad range of consumer needs, and what may be alternative or complementary incentives or regulatory measures (including consumer protections) to consider in support of these needs. </w:t>
            </w:r>
          </w:p>
          <w:p w14:paraId="60288623" w14:textId="77777777" w:rsidR="003E7B86" w:rsidRDefault="003E7B86" w:rsidP="00B35EA1">
            <w:pPr>
              <w:autoSpaceDE w:val="0"/>
              <w:autoSpaceDN w:val="0"/>
              <w:adjustRightInd w:val="0"/>
              <w:snapToGrid/>
              <w:rPr>
                <w:rFonts w:cs="Arial"/>
                <w:color w:val="000000"/>
                <w:szCs w:val="22"/>
                <w:lang w:eastAsia="en-US"/>
              </w:rPr>
            </w:pPr>
          </w:p>
          <w:p w14:paraId="24A81FBC" w14:textId="55987C11" w:rsidR="003E7B86" w:rsidRPr="009676C3" w:rsidRDefault="004A695F" w:rsidP="00B35EA1">
            <w:pPr>
              <w:autoSpaceDE w:val="0"/>
              <w:autoSpaceDN w:val="0"/>
              <w:adjustRightInd w:val="0"/>
              <w:snapToGrid/>
              <w:rPr>
                <w:rFonts w:cs="Arial"/>
                <w:color w:val="7030A0"/>
                <w:szCs w:val="22"/>
                <w:lang w:eastAsia="en-US"/>
              </w:rPr>
            </w:pPr>
            <w:r w:rsidRPr="009676C3">
              <w:rPr>
                <w:rFonts w:cs="Arial"/>
                <w:color w:val="7030A0"/>
                <w:szCs w:val="22"/>
                <w:lang w:eastAsia="en-US"/>
              </w:rPr>
              <w:t>The approach is inclusive and thorough. Necessary stakeholder consultation is ongoing. It is not clear if any extensive consideration has been given to actual consumer sentiments and needs</w:t>
            </w:r>
            <w:r w:rsidR="00CD2563" w:rsidRPr="009676C3">
              <w:rPr>
                <w:rFonts w:cs="Arial"/>
                <w:color w:val="7030A0"/>
                <w:szCs w:val="22"/>
                <w:lang w:eastAsia="en-US"/>
              </w:rPr>
              <w:t xml:space="preserve">, with respect to the future market and related technologies. Many consumers are now familiar with rooftop solar, but it is not apparent if consumers know about DER, residential battery storage, the value of ancillary services markets and two-way markets. Referring to Section 2.1 of the consultation paper, the Energy Consumer Sentiment Survey perhaps reflects a level of dissatisfaction with price and (probably to a lesser extent) reliability, but we surmise that most consumers are simply not </w:t>
            </w:r>
            <w:r w:rsidR="00864FB8">
              <w:rPr>
                <w:rFonts w:cs="Arial"/>
                <w:color w:val="7030A0"/>
                <w:szCs w:val="22"/>
                <w:lang w:eastAsia="en-US"/>
              </w:rPr>
              <w:t xml:space="preserve">fully </w:t>
            </w:r>
            <w:r w:rsidR="00CD2563" w:rsidRPr="009676C3">
              <w:rPr>
                <w:rFonts w:cs="Arial"/>
                <w:color w:val="7030A0"/>
                <w:szCs w:val="22"/>
                <w:lang w:eastAsia="en-US"/>
              </w:rPr>
              <w:t>aware of the pending revolution in the energy sector</w:t>
            </w:r>
            <w:r w:rsidR="00864FB8">
              <w:rPr>
                <w:rFonts w:cs="Arial"/>
                <w:color w:val="7030A0"/>
                <w:szCs w:val="22"/>
                <w:lang w:eastAsia="en-US"/>
              </w:rPr>
              <w:t>, and the opportunities this brings</w:t>
            </w:r>
            <w:r w:rsidR="00CD2563" w:rsidRPr="009676C3">
              <w:rPr>
                <w:rFonts w:cs="Arial"/>
                <w:color w:val="7030A0"/>
                <w:szCs w:val="22"/>
                <w:lang w:eastAsia="en-US"/>
              </w:rPr>
              <w:t>. Education and outreach, combined with consultation, will be necessary.  As we have mentioned, consumers may not get</w:t>
            </w:r>
            <w:r w:rsidR="00864FB8">
              <w:rPr>
                <w:rFonts w:cs="Arial"/>
                <w:color w:val="7030A0"/>
                <w:szCs w:val="22"/>
                <w:lang w:eastAsia="en-US"/>
              </w:rPr>
              <w:t xml:space="preserve"> the full benefit of</w:t>
            </w:r>
            <w:r w:rsidR="00CD2563" w:rsidRPr="009676C3">
              <w:rPr>
                <w:rFonts w:cs="Arial"/>
                <w:color w:val="7030A0"/>
                <w:szCs w:val="22"/>
                <w:lang w:eastAsia="en-US"/>
              </w:rPr>
              <w:t xml:space="preserve"> cheap</w:t>
            </w:r>
            <w:r w:rsidR="00864FB8">
              <w:rPr>
                <w:rFonts w:cs="Arial"/>
                <w:color w:val="7030A0"/>
                <w:szCs w:val="22"/>
                <w:lang w:eastAsia="en-US"/>
              </w:rPr>
              <w:t>er</w:t>
            </w:r>
            <w:r w:rsidR="00CD2563" w:rsidRPr="009676C3">
              <w:rPr>
                <w:rFonts w:cs="Arial"/>
                <w:color w:val="7030A0"/>
                <w:szCs w:val="22"/>
                <w:lang w:eastAsia="en-US"/>
              </w:rPr>
              <w:t xml:space="preserve"> electricity</w:t>
            </w:r>
            <w:r w:rsidR="00864FB8">
              <w:rPr>
                <w:rFonts w:cs="Arial"/>
                <w:color w:val="7030A0"/>
                <w:szCs w:val="22"/>
                <w:lang w:eastAsia="en-US"/>
              </w:rPr>
              <w:t xml:space="preserve"> near term</w:t>
            </w:r>
            <w:r w:rsidR="00CD2563" w:rsidRPr="009676C3">
              <w:rPr>
                <w:rFonts w:cs="Arial"/>
                <w:color w:val="7030A0"/>
                <w:szCs w:val="22"/>
                <w:lang w:eastAsia="en-US"/>
              </w:rPr>
              <w:t xml:space="preserve">, but they could be empowered to play a role in the system, even those who live in rented accommodation and apartments. </w:t>
            </w:r>
          </w:p>
          <w:p w14:paraId="220C4B83" w14:textId="2AEEC27E" w:rsidR="009676C3" w:rsidRPr="00B35EA1" w:rsidRDefault="009676C3" w:rsidP="00B35EA1">
            <w:pPr>
              <w:autoSpaceDE w:val="0"/>
              <w:autoSpaceDN w:val="0"/>
              <w:adjustRightInd w:val="0"/>
              <w:snapToGrid/>
              <w:rPr>
                <w:rFonts w:cs="Arial"/>
                <w:color w:val="000000"/>
                <w:szCs w:val="22"/>
                <w:lang w:eastAsia="en-US"/>
              </w:rPr>
            </w:pPr>
          </w:p>
        </w:tc>
      </w:tr>
      <w:tr w:rsidR="00B35EA1" w:rsidRPr="00B35EA1" w14:paraId="28BDD7C0" w14:textId="77777777" w:rsidTr="001F488F">
        <w:trPr>
          <w:trHeight w:val="355"/>
        </w:trPr>
        <w:tc>
          <w:tcPr>
            <w:tcW w:w="1276" w:type="dxa"/>
          </w:tcPr>
          <w:p w14:paraId="075257C4"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lastRenderedPageBreak/>
              <w:t xml:space="preserve">4 </w:t>
            </w:r>
          </w:p>
        </w:tc>
        <w:tc>
          <w:tcPr>
            <w:tcW w:w="6946" w:type="dxa"/>
          </w:tcPr>
          <w:p w14:paraId="0B44F95C" w14:textId="0DAEE5CD" w:rsid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The proposed approach and criteria to evaluate the range of potential solutions identified within each workstream, as well as for assessing market design option(s) to be developed later this year. </w:t>
            </w:r>
          </w:p>
          <w:p w14:paraId="09B2B155" w14:textId="77777777" w:rsidR="003E7B86" w:rsidRDefault="003E7B86" w:rsidP="00B35EA1">
            <w:pPr>
              <w:autoSpaceDE w:val="0"/>
              <w:autoSpaceDN w:val="0"/>
              <w:adjustRightInd w:val="0"/>
              <w:snapToGrid/>
              <w:rPr>
                <w:rFonts w:cs="Arial"/>
                <w:color w:val="000000"/>
                <w:szCs w:val="22"/>
                <w:lang w:eastAsia="en-US"/>
              </w:rPr>
            </w:pPr>
          </w:p>
          <w:p w14:paraId="164DC613" w14:textId="1E4FC8FE" w:rsidR="003E7B86" w:rsidRDefault="00CD2563" w:rsidP="00B35EA1">
            <w:pPr>
              <w:autoSpaceDE w:val="0"/>
              <w:autoSpaceDN w:val="0"/>
              <w:adjustRightInd w:val="0"/>
              <w:snapToGrid/>
              <w:rPr>
                <w:rFonts w:cs="Arial"/>
                <w:color w:val="7030A0"/>
                <w:szCs w:val="22"/>
                <w:lang w:eastAsia="en-US"/>
              </w:rPr>
            </w:pPr>
            <w:r w:rsidRPr="009676C3">
              <w:rPr>
                <w:rFonts w:cs="Arial"/>
                <w:color w:val="7030A0"/>
                <w:szCs w:val="22"/>
                <w:lang w:eastAsia="en-US"/>
              </w:rPr>
              <w:t>It is early in the process, and we expect that more detailed evaluation and decision-making processes will be employed as solutions are developed further.  At this stage the approach appears suitable.</w:t>
            </w:r>
            <w:r w:rsidR="004A695F" w:rsidRPr="009676C3">
              <w:rPr>
                <w:rFonts w:cs="Arial"/>
                <w:color w:val="7030A0"/>
                <w:szCs w:val="22"/>
                <w:lang w:eastAsia="en-US"/>
              </w:rPr>
              <w:t xml:space="preserve"> </w:t>
            </w:r>
          </w:p>
          <w:p w14:paraId="75DE7D6E" w14:textId="77777777" w:rsidR="00864FB8" w:rsidRDefault="00864FB8" w:rsidP="00B35EA1">
            <w:pPr>
              <w:autoSpaceDE w:val="0"/>
              <w:autoSpaceDN w:val="0"/>
              <w:adjustRightInd w:val="0"/>
              <w:snapToGrid/>
              <w:rPr>
                <w:rFonts w:cs="Arial"/>
                <w:color w:val="7030A0"/>
                <w:szCs w:val="22"/>
                <w:lang w:eastAsia="en-US"/>
              </w:rPr>
            </w:pPr>
          </w:p>
          <w:p w14:paraId="05D52C35" w14:textId="626B6796" w:rsidR="00864FB8" w:rsidRPr="009676C3" w:rsidRDefault="00864FB8" w:rsidP="00B35EA1">
            <w:pPr>
              <w:autoSpaceDE w:val="0"/>
              <w:autoSpaceDN w:val="0"/>
              <w:adjustRightInd w:val="0"/>
              <w:snapToGrid/>
              <w:rPr>
                <w:rFonts w:cs="Arial"/>
                <w:color w:val="7030A0"/>
                <w:szCs w:val="22"/>
                <w:lang w:eastAsia="en-US"/>
              </w:rPr>
            </w:pPr>
            <w:r>
              <w:rPr>
                <w:rFonts w:cs="Arial"/>
                <w:color w:val="7030A0"/>
                <w:szCs w:val="22"/>
                <w:lang w:eastAsia="en-US"/>
              </w:rPr>
              <w:t xml:space="preserve">IEEFA is fully supportive of the roadmap provided by AEMO’s </w:t>
            </w:r>
            <w:r w:rsidR="00504148">
              <w:rPr>
                <w:rFonts w:cs="Arial"/>
                <w:color w:val="7030A0"/>
                <w:szCs w:val="22"/>
                <w:lang w:eastAsia="en-US"/>
              </w:rPr>
              <w:t>ISP and</w:t>
            </w:r>
            <w:r>
              <w:rPr>
                <w:rFonts w:cs="Arial"/>
                <w:color w:val="7030A0"/>
                <w:szCs w:val="22"/>
                <w:lang w:eastAsia="en-US"/>
              </w:rPr>
              <w:t xml:space="preserve"> would encourage the ongoing review and updating of this plan in the meantime. The renewable energy zone and interstate grid connectivity initiatives are key pre-requisites to accelerated investment in lower cost, decarbonised electricity over the long term, so these need to be run in parallel to the Post 2025 Market Design review.</w:t>
            </w:r>
          </w:p>
          <w:p w14:paraId="65E49720" w14:textId="77777777" w:rsidR="009676C3" w:rsidRDefault="009676C3" w:rsidP="00B35EA1">
            <w:pPr>
              <w:autoSpaceDE w:val="0"/>
              <w:autoSpaceDN w:val="0"/>
              <w:adjustRightInd w:val="0"/>
              <w:snapToGrid/>
              <w:rPr>
                <w:rFonts w:cs="Arial"/>
                <w:color w:val="000000"/>
                <w:szCs w:val="22"/>
                <w:lang w:eastAsia="en-US"/>
              </w:rPr>
            </w:pPr>
          </w:p>
          <w:p w14:paraId="7CFD9EB1" w14:textId="40B47476" w:rsidR="009676C3" w:rsidRPr="00B35EA1" w:rsidRDefault="009676C3" w:rsidP="00B35EA1">
            <w:pPr>
              <w:autoSpaceDE w:val="0"/>
              <w:autoSpaceDN w:val="0"/>
              <w:adjustRightInd w:val="0"/>
              <w:snapToGrid/>
              <w:rPr>
                <w:rFonts w:cs="Arial"/>
                <w:color w:val="000000"/>
                <w:szCs w:val="22"/>
                <w:lang w:eastAsia="en-US"/>
              </w:rPr>
            </w:pPr>
          </w:p>
        </w:tc>
      </w:tr>
      <w:tr w:rsidR="00B35EA1" w:rsidRPr="00B35EA1" w14:paraId="47F4ADBC" w14:textId="77777777" w:rsidTr="001F488F">
        <w:trPr>
          <w:trHeight w:val="103"/>
        </w:trPr>
        <w:tc>
          <w:tcPr>
            <w:tcW w:w="1276" w:type="dxa"/>
          </w:tcPr>
          <w:p w14:paraId="160AA683"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b/>
                <w:bCs/>
                <w:color w:val="000000"/>
                <w:szCs w:val="22"/>
                <w:lang w:eastAsia="en-US"/>
              </w:rPr>
              <w:t xml:space="preserve">Section 4 </w:t>
            </w:r>
          </w:p>
        </w:tc>
        <w:tc>
          <w:tcPr>
            <w:tcW w:w="6946" w:type="dxa"/>
          </w:tcPr>
          <w:p w14:paraId="31A2A730"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b/>
                <w:bCs/>
                <w:color w:val="000000"/>
                <w:szCs w:val="22"/>
                <w:lang w:eastAsia="en-US"/>
              </w:rPr>
              <w:t xml:space="preserve">Resource Adequacy Mechanisms – Market Design Initiative A </w:t>
            </w:r>
          </w:p>
        </w:tc>
      </w:tr>
      <w:tr w:rsidR="00B35EA1" w:rsidRPr="00B35EA1" w14:paraId="04E58BE0" w14:textId="77777777" w:rsidTr="001F488F">
        <w:trPr>
          <w:trHeight w:val="355"/>
        </w:trPr>
        <w:tc>
          <w:tcPr>
            <w:tcW w:w="1276" w:type="dxa"/>
          </w:tcPr>
          <w:p w14:paraId="10B9E236"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1 </w:t>
            </w:r>
          </w:p>
        </w:tc>
        <w:tc>
          <w:tcPr>
            <w:tcW w:w="6946" w:type="dxa"/>
          </w:tcPr>
          <w:p w14:paraId="52A65B7F" w14:textId="77777777" w:rsid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Do you have views on whether the current resource adequacy mechanisms within the NEM are sufficient to drive investment in the quantity and mix of resources required through the transition? </w:t>
            </w:r>
          </w:p>
          <w:p w14:paraId="4FCACC85" w14:textId="77777777" w:rsidR="003E7B86" w:rsidRDefault="003E7B86" w:rsidP="00B35EA1">
            <w:pPr>
              <w:autoSpaceDE w:val="0"/>
              <w:autoSpaceDN w:val="0"/>
              <w:adjustRightInd w:val="0"/>
              <w:snapToGrid/>
              <w:rPr>
                <w:rFonts w:cs="Arial"/>
                <w:color w:val="000000"/>
                <w:szCs w:val="22"/>
                <w:lang w:eastAsia="en-US"/>
              </w:rPr>
            </w:pPr>
          </w:p>
          <w:p w14:paraId="36253479" w14:textId="5E2558CE" w:rsidR="00F5560A" w:rsidRPr="009676C3" w:rsidRDefault="00F5560A" w:rsidP="00B35EA1">
            <w:pPr>
              <w:autoSpaceDE w:val="0"/>
              <w:autoSpaceDN w:val="0"/>
              <w:adjustRightInd w:val="0"/>
              <w:snapToGrid/>
              <w:rPr>
                <w:rFonts w:cs="Arial"/>
                <w:color w:val="7030A0"/>
                <w:szCs w:val="22"/>
                <w:lang w:eastAsia="en-US"/>
              </w:rPr>
            </w:pPr>
            <w:r w:rsidRPr="009676C3">
              <w:rPr>
                <w:rFonts w:cs="Arial"/>
                <w:color w:val="7030A0"/>
                <w:szCs w:val="22"/>
                <w:lang w:eastAsia="en-US"/>
              </w:rPr>
              <w:t xml:space="preserve">The important unpriced externality that is not highlighted in the Consultation Paper is carbon emissions, and other pollution from coal and gas combustion.  So long as some market participants are permitted to freely pollute, there remains a certain lack of incentive to rapidly displace thermal generation with renewables. In the absence of a price on carbon, it is fortuitous that firmed renewable energy is the cheapest source of new capacity, but not pricing externalities such as carbon and pollution promotes rent seeking by thermal generators. The failure of </w:t>
            </w:r>
            <w:r w:rsidR="00864FB8">
              <w:rPr>
                <w:rFonts w:cs="Arial"/>
                <w:color w:val="7030A0"/>
                <w:szCs w:val="22"/>
                <w:lang w:eastAsia="en-US"/>
              </w:rPr>
              <w:t xml:space="preserve">the Federal </w:t>
            </w:r>
            <w:r w:rsidRPr="009676C3">
              <w:rPr>
                <w:rFonts w:cs="Arial"/>
                <w:color w:val="7030A0"/>
                <w:szCs w:val="22"/>
                <w:lang w:eastAsia="en-US"/>
              </w:rPr>
              <w:t>government to introduce stable energy+climate policy, and interventions that promote further fossil fuel use in the energy sector (including enablers such as CCS and blue hydrogen</w:t>
            </w:r>
            <w:r w:rsidR="00864FB8">
              <w:rPr>
                <w:rFonts w:cs="Arial"/>
                <w:color w:val="7030A0"/>
                <w:szCs w:val="22"/>
                <w:lang w:eastAsia="en-US"/>
              </w:rPr>
              <w:t>, as well as ongoing subsidies like the diesel fuel rebate for coal mining</w:t>
            </w:r>
            <w:r w:rsidRPr="009676C3">
              <w:rPr>
                <w:rFonts w:cs="Arial"/>
                <w:color w:val="7030A0"/>
                <w:szCs w:val="22"/>
                <w:lang w:eastAsia="en-US"/>
              </w:rPr>
              <w:t xml:space="preserve">) will slow the transition and ultimately increase costs. </w:t>
            </w:r>
          </w:p>
          <w:p w14:paraId="51999133" w14:textId="430A6083" w:rsidR="00F5560A" w:rsidRPr="009676C3" w:rsidRDefault="00F5560A" w:rsidP="00B35EA1">
            <w:pPr>
              <w:autoSpaceDE w:val="0"/>
              <w:autoSpaceDN w:val="0"/>
              <w:adjustRightInd w:val="0"/>
              <w:snapToGrid/>
              <w:rPr>
                <w:rFonts w:cs="Arial"/>
                <w:color w:val="7030A0"/>
                <w:szCs w:val="22"/>
                <w:lang w:eastAsia="en-US"/>
              </w:rPr>
            </w:pPr>
          </w:p>
          <w:p w14:paraId="7FE8DD3E" w14:textId="59CCB35F" w:rsidR="00F5560A" w:rsidRPr="009676C3" w:rsidRDefault="00F5560A" w:rsidP="00B35EA1">
            <w:pPr>
              <w:autoSpaceDE w:val="0"/>
              <w:autoSpaceDN w:val="0"/>
              <w:adjustRightInd w:val="0"/>
              <w:snapToGrid/>
              <w:rPr>
                <w:rFonts w:cs="Arial"/>
                <w:color w:val="7030A0"/>
                <w:szCs w:val="22"/>
                <w:lang w:eastAsia="en-US"/>
              </w:rPr>
            </w:pPr>
            <w:r w:rsidRPr="009676C3">
              <w:rPr>
                <w:rFonts w:cs="Arial"/>
                <w:color w:val="7030A0"/>
                <w:szCs w:val="22"/>
                <w:lang w:eastAsia="en-US"/>
              </w:rPr>
              <w:t>The Resource Adequacy Mechanisms (RAMS), as introduced in the paper, are potentially useful drivers for ensuring adequate supply and reliability, but they should not in any way benefit what many consider baseload and/or synchronous generation from fossil fuels. Further to our comments above, IEEFA agree</w:t>
            </w:r>
            <w:r w:rsidR="00956D41">
              <w:rPr>
                <w:rFonts w:cs="Arial"/>
                <w:color w:val="7030A0"/>
                <w:szCs w:val="22"/>
                <w:lang w:eastAsia="en-US"/>
              </w:rPr>
              <w:t>s</w:t>
            </w:r>
            <w:r w:rsidRPr="009676C3">
              <w:rPr>
                <w:rFonts w:cs="Arial"/>
                <w:color w:val="7030A0"/>
                <w:szCs w:val="22"/>
                <w:lang w:eastAsia="en-US"/>
              </w:rPr>
              <w:t xml:space="preserve"> with </w:t>
            </w:r>
            <w:r w:rsidR="00956D41">
              <w:rPr>
                <w:rFonts w:cs="Arial"/>
                <w:color w:val="7030A0"/>
                <w:szCs w:val="22"/>
                <w:lang w:eastAsia="en-US"/>
              </w:rPr>
              <w:t xml:space="preserve">the need for </w:t>
            </w:r>
            <w:r w:rsidRPr="009676C3">
              <w:rPr>
                <w:rFonts w:cs="Arial"/>
                <w:color w:val="7030A0"/>
                <w:szCs w:val="22"/>
                <w:lang w:eastAsia="en-US"/>
              </w:rPr>
              <w:t>an orderly</w:t>
            </w:r>
            <w:r w:rsidR="00956D41">
              <w:rPr>
                <w:rFonts w:cs="Arial"/>
                <w:color w:val="7030A0"/>
                <w:szCs w:val="22"/>
                <w:lang w:eastAsia="en-US"/>
              </w:rPr>
              <w:t>, planned</w:t>
            </w:r>
            <w:r w:rsidRPr="009676C3">
              <w:rPr>
                <w:rFonts w:cs="Arial"/>
                <w:color w:val="7030A0"/>
                <w:szCs w:val="22"/>
                <w:lang w:eastAsia="en-US"/>
              </w:rPr>
              <w:t xml:space="preserve"> transition, but the era of stable synchronous baseload generation is over and (in our view) the ambition should be to move rapidly to a flexible largely asynchronous system, that values DER and demand response, and is highly digitalised. RAMS that support this are encouraged</w:t>
            </w:r>
            <w:r w:rsidR="009676C3" w:rsidRPr="009676C3">
              <w:rPr>
                <w:rFonts w:cs="Arial"/>
                <w:color w:val="7030A0"/>
                <w:szCs w:val="22"/>
                <w:lang w:eastAsia="en-US"/>
              </w:rPr>
              <w:t>.</w:t>
            </w:r>
          </w:p>
          <w:p w14:paraId="4627EE16" w14:textId="6F4A00E0" w:rsidR="003E7B86" w:rsidRPr="00B35EA1" w:rsidRDefault="003E7B86" w:rsidP="00B35EA1">
            <w:pPr>
              <w:autoSpaceDE w:val="0"/>
              <w:autoSpaceDN w:val="0"/>
              <w:adjustRightInd w:val="0"/>
              <w:snapToGrid/>
              <w:rPr>
                <w:rFonts w:cs="Arial"/>
                <w:color w:val="000000"/>
                <w:szCs w:val="22"/>
                <w:lang w:eastAsia="en-US"/>
              </w:rPr>
            </w:pPr>
          </w:p>
        </w:tc>
      </w:tr>
      <w:tr w:rsidR="00B35EA1" w:rsidRPr="00B35EA1" w14:paraId="7E77F391" w14:textId="77777777" w:rsidTr="001F488F">
        <w:trPr>
          <w:trHeight w:val="735"/>
        </w:trPr>
        <w:tc>
          <w:tcPr>
            <w:tcW w:w="1276" w:type="dxa"/>
          </w:tcPr>
          <w:p w14:paraId="7533C798"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2 </w:t>
            </w:r>
          </w:p>
        </w:tc>
        <w:tc>
          <w:tcPr>
            <w:tcW w:w="6946" w:type="dxa"/>
          </w:tcPr>
          <w:p w14:paraId="5041FC09" w14:textId="77777777" w:rsid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Do you have views on whether the short-term signals provided by an operating reserve mechanism or market would provide adequate incentives to deliver the amount and type of investment needed for a Post-2025 NEM in a timely manner? What impact could an operating reserve have on financial markets? What are the benefits of this approach? What are the costs and risks? </w:t>
            </w:r>
          </w:p>
          <w:p w14:paraId="55A3E465" w14:textId="05107B8D" w:rsidR="003E7B86" w:rsidRDefault="003E7B86" w:rsidP="00B35EA1">
            <w:pPr>
              <w:autoSpaceDE w:val="0"/>
              <w:autoSpaceDN w:val="0"/>
              <w:adjustRightInd w:val="0"/>
              <w:snapToGrid/>
              <w:rPr>
                <w:rFonts w:cs="Arial"/>
                <w:color w:val="000000"/>
                <w:szCs w:val="22"/>
                <w:lang w:eastAsia="en-US"/>
              </w:rPr>
            </w:pPr>
          </w:p>
          <w:p w14:paraId="64609288" w14:textId="1FB76482" w:rsidR="00F5560A" w:rsidRPr="009676C3" w:rsidRDefault="00F5560A" w:rsidP="00B35EA1">
            <w:pPr>
              <w:autoSpaceDE w:val="0"/>
              <w:autoSpaceDN w:val="0"/>
              <w:adjustRightInd w:val="0"/>
              <w:snapToGrid/>
              <w:rPr>
                <w:rFonts w:cs="Arial"/>
                <w:color w:val="7030A0"/>
                <w:szCs w:val="22"/>
                <w:lang w:eastAsia="en-US"/>
              </w:rPr>
            </w:pPr>
            <w:r w:rsidRPr="009676C3">
              <w:rPr>
                <w:rFonts w:cs="Arial"/>
                <w:color w:val="7030A0"/>
                <w:szCs w:val="22"/>
                <w:lang w:eastAsia="en-US"/>
              </w:rPr>
              <w:t xml:space="preserve">We have not analysed the operating reserve mechanism in detail. To the extent that a co-optimised market for operating reserves helps to sharpen the price signal and can incentivise investment, it is supported. </w:t>
            </w:r>
          </w:p>
          <w:p w14:paraId="5E7D0D66" w14:textId="59977FB4" w:rsidR="003E7B86" w:rsidRPr="00B35EA1" w:rsidRDefault="003E7B86" w:rsidP="00B35EA1">
            <w:pPr>
              <w:autoSpaceDE w:val="0"/>
              <w:autoSpaceDN w:val="0"/>
              <w:adjustRightInd w:val="0"/>
              <w:snapToGrid/>
              <w:rPr>
                <w:rFonts w:cs="Arial"/>
                <w:color w:val="000000"/>
                <w:szCs w:val="22"/>
                <w:lang w:eastAsia="en-US"/>
              </w:rPr>
            </w:pPr>
          </w:p>
        </w:tc>
      </w:tr>
      <w:tr w:rsidR="00B35EA1" w:rsidRPr="00B35EA1" w14:paraId="7E472EE3" w14:textId="77777777" w:rsidTr="001F488F">
        <w:trPr>
          <w:trHeight w:val="609"/>
        </w:trPr>
        <w:tc>
          <w:tcPr>
            <w:tcW w:w="1276" w:type="dxa"/>
          </w:tcPr>
          <w:p w14:paraId="5AC808FF"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lastRenderedPageBreak/>
              <w:t xml:space="preserve">3 </w:t>
            </w:r>
          </w:p>
        </w:tc>
        <w:tc>
          <w:tcPr>
            <w:tcW w:w="6946" w:type="dxa"/>
          </w:tcPr>
          <w:p w14:paraId="17B5A32D" w14:textId="77777777" w:rsidR="003E7B86"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Do you have views on whether the signals provided by an expanded RRO based on financial contracts or a decentralised capacity market would provide the type of incentives participants need to deliver the amount and type of investment needed for a post-2025 NEM in a timely manner. What are the benefits of this approach? What are the costs and risks?</w:t>
            </w:r>
          </w:p>
          <w:p w14:paraId="2B18743E" w14:textId="77777777" w:rsidR="003E7B86" w:rsidRDefault="003E7B86" w:rsidP="00B35EA1">
            <w:pPr>
              <w:autoSpaceDE w:val="0"/>
              <w:autoSpaceDN w:val="0"/>
              <w:adjustRightInd w:val="0"/>
              <w:snapToGrid/>
              <w:rPr>
                <w:rFonts w:cs="Arial"/>
                <w:color w:val="000000"/>
                <w:szCs w:val="22"/>
                <w:lang w:eastAsia="en-US"/>
              </w:rPr>
            </w:pPr>
          </w:p>
          <w:p w14:paraId="2B6EC84B" w14:textId="1D0A29DE" w:rsidR="003E7B86" w:rsidRPr="009676C3" w:rsidRDefault="0081531A" w:rsidP="00B35EA1">
            <w:pPr>
              <w:autoSpaceDE w:val="0"/>
              <w:autoSpaceDN w:val="0"/>
              <w:adjustRightInd w:val="0"/>
              <w:snapToGrid/>
              <w:rPr>
                <w:rFonts w:cs="Arial"/>
                <w:color w:val="7030A0"/>
                <w:szCs w:val="22"/>
                <w:lang w:eastAsia="en-US"/>
              </w:rPr>
            </w:pPr>
            <w:r w:rsidRPr="009676C3">
              <w:rPr>
                <w:rFonts w:cs="Arial"/>
                <w:color w:val="7030A0"/>
                <w:szCs w:val="22"/>
                <w:lang w:eastAsia="en-US"/>
              </w:rPr>
              <w:t>The enhanced focus on reliability and capacity procurement of the Retailer Reliability Obligation and decentralised capacity markets</w:t>
            </w:r>
            <w:r w:rsidR="00956D41">
              <w:rPr>
                <w:rFonts w:cs="Arial"/>
                <w:color w:val="7030A0"/>
                <w:szCs w:val="22"/>
                <w:lang w:eastAsia="en-US"/>
              </w:rPr>
              <w:t xml:space="preserve"> look overly complicated and ineffective, and</w:t>
            </w:r>
            <w:r w:rsidRPr="009676C3">
              <w:rPr>
                <w:rFonts w:cs="Arial"/>
                <w:color w:val="7030A0"/>
                <w:szCs w:val="22"/>
                <w:lang w:eastAsia="en-US"/>
              </w:rPr>
              <w:t xml:space="preserve"> </w:t>
            </w:r>
            <w:r w:rsidR="00956D41">
              <w:rPr>
                <w:rFonts w:cs="Arial"/>
                <w:color w:val="7030A0"/>
                <w:szCs w:val="22"/>
                <w:lang w:eastAsia="en-US"/>
              </w:rPr>
              <w:t>are likely to distract from the larger picture and</w:t>
            </w:r>
            <w:r w:rsidR="00956D41" w:rsidRPr="009676C3">
              <w:rPr>
                <w:rFonts w:cs="Arial"/>
                <w:color w:val="7030A0"/>
                <w:szCs w:val="22"/>
                <w:lang w:eastAsia="en-US"/>
              </w:rPr>
              <w:t xml:space="preserve"> </w:t>
            </w:r>
            <w:r w:rsidRPr="009676C3">
              <w:rPr>
                <w:rFonts w:cs="Arial"/>
                <w:color w:val="7030A0"/>
                <w:szCs w:val="22"/>
                <w:lang w:eastAsia="en-US"/>
              </w:rPr>
              <w:t>lead to unnecessary network ‘gold plating’ and/or excess capacity. Although we have not analysed these options in detail, they would seem less efficient than an operating reserve market</w:t>
            </w:r>
            <w:r w:rsidR="00956D41">
              <w:rPr>
                <w:rFonts w:cs="Arial"/>
                <w:color w:val="7030A0"/>
                <w:szCs w:val="22"/>
                <w:lang w:eastAsia="en-US"/>
              </w:rPr>
              <w:t xml:space="preserve"> and clear market price signals</w:t>
            </w:r>
            <w:r w:rsidRPr="009676C3">
              <w:rPr>
                <w:rFonts w:cs="Arial"/>
                <w:color w:val="7030A0"/>
                <w:szCs w:val="22"/>
                <w:lang w:eastAsia="en-US"/>
              </w:rPr>
              <w:t xml:space="preserve">. </w:t>
            </w:r>
          </w:p>
          <w:p w14:paraId="470DFA46" w14:textId="64304909" w:rsidR="00B35EA1" w:rsidRP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 </w:t>
            </w:r>
          </w:p>
        </w:tc>
      </w:tr>
      <w:tr w:rsidR="00B35EA1" w:rsidRPr="00B35EA1" w14:paraId="1D0C5107" w14:textId="77777777" w:rsidTr="001F488F">
        <w:trPr>
          <w:trHeight w:val="609"/>
        </w:trPr>
        <w:tc>
          <w:tcPr>
            <w:tcW w:w="1276" w:type="dxa"/>
          </w:tcPr>
          <w:p w14:paraId="0BDEA40B"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4 </w:t>
            </w:r>
          </w:p>
        </w:tc>
        <w:tc>
          <w:tcPr>
            <w:tcW w:w="6946" w:type="dxa"/>
          </w:tcPr>
          <w:p w14:paraId="4C7C51BA" w14:textId="77777777" w:rsidR="003E7B86"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Do you have views on how an operating reserve mechanism and/or expanded RRO would impact the need for and use of RERT and the interim reliability reserve if they were introduced into the NEM? What adjustments to the RERT and/or interim reliability reserve may need to be made so that they are complementary and not contradictory or duplicative?</w:t>
            </w:r>
          </w:p>
          <w:p w14:paraId="492DD729" w14:textId="77777777" w:rsidR="003E7B86" w:rsidRDefault="003E7B86" w:rsidP="00B35EA1">
            <w:pPr>
              <w:autoSpaceDE w:val="0"/>
              <w:autoSpaceDN w:val="0"/>
              <w:adjustRightInd w:val="0"/>
              <w:snapToGrid/>
              <w:rPr>
                <w:rFonts w:cs="Arial"/>
                <w:color w:val="000000"/>
                <w:szCs w:val="22"/>
                <w:lang w:eastAsia="en-US"/>
              </w:rPr>
            </w:pPr>
          </w:p>
          <w:p w14:paraId="792E4AF3" w14:textId="59FB7C46" w:rsidR="003E7B86" w:rsidRPr="009676C3" w:rsidRDefault="00DC3AEC" w:rsidP="00B35EA1">
            <w:pPr>
              <w:autoSpaceDE w:val="0"/>
              <w:autoSpaceDN w:val="0"/>
              <w:adjustRightInd w:val="0"/>
              <w:snapToGrid/>
              <w:rPr>
                <w:rFonts w:cs="Arial"/>
                <w:color w:val="7030A0"/>
                <w:szCs w:val="22"/>
                <w:lang w:eastAsia="en-US"/>
              </w:rPr>
            </w:pPr>
            <w:r w:rsidRPr="009676C3">
              <w:rPr>
                <w:rFonts w:cs="Arial"/>
                <w:color w:val="7030A0"/>
                <w:szCs w:val="22"/>
                <w:lang w:eastAsia="en-US"/>
              </w:rPr>
              <w:t xml:space="preserve">A well-designed and operating reserve market should reduce or eliminate the need for the </w:t>
            </w:r>
            <w:r w:rsidR="003E7B86" w:rsidRPr="009676C3">
              <w:rPr>
                <w:rFonts w:cs="Arial"/>
                <w:color w:val="7030A0"/>
                <w:szCs w:val="22"/>
                <w:lang w:eastAsia="en-US"/>
              </w:rPr>
              <w:t>RERT</w:t>
            </w:r>
            <w:r w:rsidRPr="009676C3">
              <w:rPr>
                <w:rFonts w:cs="Arial"/>
                <w:color w:val="7030A0"/>
                <w:szCs w:val="22"/>
                <w:lang w:eastAsia="en-US"/>
              </w:rPr>
              <w:t>. Like the energy market, price caps can be set to limit consumer and retail</w:t>
            </w:r>
            <w:r w:rsidR="00D25CB7">
              <w:rPr>
                <w:rFonts w:cs="Arial"/>
                <w:color w:val="7030A0"/>
                <w:szCs w:val="22"/>
                <w:lang w:eastAsia="en-US"/>
              </w:rPr>
              <w:t>e</w:t>
            </w:r>
            <w:r w:rsidRPr="009676C3">
              <w:rPr>
                <w:rFonts w:cs="Arial"/>
                <w:color w:val="7030A0"/>
                <w:szCs w:val="22"/>
                <w:lang w:eastAsia="en-US"/>
              </w:rPr>
              <w:t xml:space="preserve">r exposure. A competitive operating reserves market should produce </w:t>
            </w:r>
            <w:r w:rsidR="00D25CB7">
              <w:rPr>
                <w:rFonts w:cs="Arial"/>
                <w:color w:val="7030A0"/>
                <w:szCs w:val="22"/>
                <w:lang w:eastAsia="en-US"/>
              </w:rPr>
              <w:t xml:space="preserve">better </w:t>
            </w:r>
            <w:r w:rsidRPr="009676C3">
              <w:rPr>
                <w:rFonts w:cs="Arial"/>
                <w:color w:val="7030A0"/>
                <w:szCs w:val="22"/>
                <w:lang w:eastAsia="en-US"/>
              </w:rPr>
              <w:t>economic outcomes tha</w:t>
            </w:r>
            <w:r w:rsidR="00D25CB7">
              <w:rPr>
                <w:rFonts w:cs="Arial"/>
                <w:color w:val="7030A0"/>
                <w:szCs w:val="22"/>
                <w:lang w:eastAsia="en-US"/>
              </w:rPr>
              <w:t>n</w:t>
            </w:r>
            <w:r w:rsidRPr="009676C3">
              <w:rPr>
                <w:rFonts w:cs="Arial"/>
                <w:color w:val="7030A0"/>
                <w:szCs w:val="22"/>
                <w:lang w:eastAsia="en-US"/>
              </w:rPr>
              <w:t xml:space="preserve"> the RERT.  Perhaps a backstop RERT mechanism can be retained based on AEMO taking an option to purchase capacity in the event that the market falls short during a period of scarcity.</w:t>
            </w:r>
          </w:p>
          <w:p w14:paraId="7747EAEC" w14:textId="7EA41E60" w:rsidR="00B35EA1" w:rsidRP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 </w:t>
            </w:r>
          </w:p>
        </w:tc>
      </w:tr>
      <w:tr w:rsidR="00B35EA1" w:rsidRPr="00B35EA1" w14:paraId="54DC4316" w14:textId="77777777" w:rsidTr="001F488F">
        <w:trPr>
          <w:trHeight w:val="609"/>
        </w:trPr>
        <w:tc>
          <w:tcPr>
            <w:tcW w:w="1276" w:type="dxa"/>
          </w:tcPr>
          <w:p w14:paraId="7C8D4598"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5 </w:t>
            </w:r>
          </w:p>
        </w:tc>
        <w:tc>
          <w:tcPr>
            <w:tcW w:w="6946" w:type="dxa"/>
          </w:tcPr>
          <w:p w14:paraId="5A0150AE" w14:textId="77777777" w:rsid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Do you have views on how RAMs (current or future) can better be integrated into broader jurisdictional policy priorities and programs? Should jurisdictions reflect broader policy priorities through the nature of obligations placed on retailers in an enhanced RRO or decentralised capacity market, or through the qualifying requirements for participation in an operating reserve? </w:t>
            </w:r>
          </w:p>
          <w:p w14:paraId="14F3F0D1" w14:textId="77777777" w:rsidR="003E7B86" w:rsidRDefault="003E7B86" w:rsidP="00B35EA1">
            <w:pPr>
              <w:autoSpaceDE w:val="0"/>
              <w:autoSpaceDN w:val="0"/>
              <w:adjustRightInd w:val="0"/>
              <w:snapToGrid/>
              <w:rPr>
                <w:rFonts w:cs="Arial"/>
                <w:color w:val="000000"/>
                <w:szCs w:val="22"/>
                <w:lang w:eastAsia="en-US"/>
              </w:rPr>
            </w:pPr>
          </w:p>
          <w:p w14:paraId="45AFD732" w14:textId="4D71C879" w:rsidR="003E7B86" w:rsidRDefault="000C715E" w:rsidP="00B35EA1">
            <w:pPr>
              <w:autoSpaceDE w:val="0"/>
              <w:autoSpaceDN w:val="0"/>
              <w:adjustRightInd w:val="0"/>
              <w:snapToGrid/>
              <w:rPr>
                <w:rFonts w:cs="Arial"/>
                <w:color w:val="7030A0"/>
                <w:szCs w:val="22"/>
                <w:lang w:eastAsia="en-US"/>
              </w:rPr>
            </w:pPr>
            <w:r>
              <w:rPr>
                <w:rFonts w:cs="Arial"/>
                <w:color w:val="7030A0"/>
                <w:szCs w:val="22"/>
                <w:lang w:eastAsia="en-US"/>
              </w:rPr>
              <w:t xml:space="preserve">It would be most efficient for jurisdictions to reflect broader policy priorities, but we have </w:t>
            </w:r>
            <w:r w:rsidR="009676C3">
              <w:rPr>
                <w:rFonts w:cs="Arial"/>
                <w:color w:val="7030A0"/>
                <w:szCs w:val="22"/>
                <w:lang w:eastAsia="en-US"/>
              </w:rPr>
              <w:t xml:space="preserve">not </w:t>
            </w:r>
            <w:r>
              <w:rPr>
                <w:rFonts w:cs="Arial"/>
                <w:color w:val="7030A0"/>
                <w:szCs w:val="22"/>
                <w:lang w:eastAsia="en-US"/>
              </w:rPr>
              <w:t>considered the matter in detail.</w:t>
            </w:r>
          </w:p>
          <w:p w14:paraId="2124A1C6" w14:textId="77777777" w:rsidR="00504148" w:rsidRPr="009676C3" w:rsidRDefault="00504148" w:rsidP="00B35EA1">
            <w:pPr>
              <w:autoSpaceDE w:val="0"/>
              <w:autoSpaceDN w:val="0"/>
              <w:adjustRightInd w:val="0"/>
              <w:snapToGrid/>
              <w:rPr>
                <w:rFonts w:cs="Arial"/>
                <w:color w:val="7030A0"/>
                <w:szCs w:val="22"/>
                <w:lang w:eastAsia="en-US"/>
              </w:rPr>
            </w:pPr>
          </w:p>
          <w:p w14:paraId="52B3C012" w14:textId="19E6C8BE" w:rsidR="009676C3" w:rsidRPr="00B35EA1" w:rsidRDefault="009676C3" w:rsidP="00B35EA1">
            <w:pPr>
              <w:autoSpaceDE w:val="0"/>
              <w:autoSpaceDN w:val="0"/>
              <w:adjustRightInd w:val="0"/>
              <w:snapToGrid/>
              <w:rPr>
                <w:rFonts w:cs="Arial"/>
                <w:color w:val="000000"/>
                <w:szCs w:val="22"/>
                <w:lang w:eastAsia="en-US"/>
              </w:rPr>
            </w:pPr>
          </w:p>
        </w:tc>
      </w:tr>
      <w:tr w:rsidR="00B35EA1" w:rsidRPr="00B35EA1" w14:paraId="0122A85B" w14:textId="77777777" w:rsidTr="001F488F">
        <w:trPr>
          <w:trHeight w:val="103"/>
        </w:trPr>
        <w:tc>
          <w:tcPr>
            <w:tcW w:w="1276" w:type="dxa"/>
          </w:tcPr>
          <w:p w14:paraId="210686F3"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b/>
                <w:bCs/>
                <w:color w:val="000000"/>
                <w:szCs w:val="22"/>
                <w:lang w:eastAsia="en-US"/>
              </w:rPr>
              <w:t xml:space="preserve">Section 5 </w:t>
            </w:r>
          </w:p>
        </w:tc>
        <w:tc>
          <w:tcPr>
            <w:tcW w:w="6946" w:type="dxa"/>
          </w:tcPr>
          <w:p w14:paraId="1273D798"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b/>
                <w:bCs/>
                <w:color w:val="000000"/>
                <w:szCs w:val="22"/>
                <w:lang w:eastAsia="en-US"/>
              </w:rPr>
              <w:t xml:space="preserve">Ageing Thermal Generation Strategy – Market Design Initiative B </w:t>
            </w:r>
          </w:p>
        </w:tc>
      </w:tr>
      <w:tr w:rsidR="00B35EA1" w:rsidRPr="00B35EA1" w14:paraId="4FBD4611" w14:textId="77777777" w:rsidTr="001F488F">
        <w:trPr>
          <w:trHeight w:val="232"/>
        </w:trPr>
        <w:tc>
          <w:tcPr>
            <w:tcW w:w="1276" w:type="dxa"/>
          </w:tcPr>
          <w:p w14:paraId="29A15F23"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1 </w:t>
            </w:r>
          </w:p>
        </w:tc>
        <w:tc>
          <w:tcPr>
            <w:tcW w:w="6946" w:type="dxa"/>
          </w:tcPr>
          <w:p w14:paraId="0514B3B4" w14:textId="77777777" w:rsid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Have we correctly identified the cost, reliability and security risks to consumers from the transition away from thermal generation? </w:t>
            </w:r>
          </w:p>
          <w:p w14:paraId="2CAFBE07" w14:textId="2A9A88A1" w:rsidR="003E7B86" w:rsidRDefault="003E7B86" w:rsidP="00B35EA1">
            <w:pPr>
              <w:autoSpaceDE w:val="0"/>
              <w:autoSpaceDN w:val="0"/>
              <w:adjustRightInd w:val="0"/>
              <w:snapToGrid/>
              <w:rPr>
                <w:rFonts w:cs="Arial"/>
                <w:color w:val="000000"/>
                <w:szCs w:val="22"/>
                <w:lang w:eastAsia="en-US"/>
              </w:rPr>
            </w:pPr>
          </w:p>
          <w:p w14:paraId="6A1A59C3" w14:textId="1667EB8B" w:rsidR="009676C3" w:rsidRPr="00275AE7" w:rsidRDefault="009676C3" w:rsidP="009676C3">
            <w:pPr>
              <w:autoSpaceDE w:val="0"/>
              <w:autoSpaceDN w:val="0"/>
              <w:adjustRightInd w:val="0"/>
              <w:snapToGrid/>
              <w:rPr>
                <w:rFonts w:cs="Arial"/>
                <w:color w:val="7030A0"/>
                <w:szCs w:val="22"/>
                <w:lang w:eastAsia="en-US"/>
              </w:rPr>
            </w:pPr>
            <w:r w:rsidRPr="00275AE7">
              <w:rPr>
                <w:rFonts w:cs="Arial"/>
                <w:color w:val="7030A0"/>
                <w:szCs w:val="22"/>
                <w:lang w:eastAsia="en-US"/>
              </w:rPr>
              <w:t xml:space="preserve">The ESB paper identifies the key risks associated with ageing thermal generators, although some risks may become acute more rapidly and </w:t>
            </w:r>
            <w:r w:rsidRPr="00275AE7">
              <w:rPr>
                <w:rFonts w:cs="Arial"/>
                <w:color w:val="7030A0"/>
                <w:szCs w:val="22"/>
                <w:lang w:eastAsia="en-US"/>
              </w:rPr>
              <w:lastRenderedPageBreak/>
              <w:t xml:space="preserve">have a more severe consequence than </w:t>
            </w:r>
            <w:r>
              <w:rPr>
                <w:rFonts w:cs="Arial"/>
                <w:color w:val="7030A0"/>
                <w:szCs w:val="22"/>
                <w:lang w:eastAsia="en-US"/>
              </w:rPr>
              <w:t>others</w:t>
            </w:r>
            <w:r w:rsidR="00956D41">
              <w:rPr>
                <w:rFonts w:cs="Arial"/>
                <w:color w:val="7030A0"/>
                <w:szCs w:val="22"/>
                <w:lang w:eastAsia="en-US"/>
              </w:rPr>
              <w:t>, particularly the increased probability of unexpected catastrophic failure, as evidenced in Muja AB in West Australia in 2017, at severe cost to consumers. Failure to acknowledge coal power plants were designed to operate for 40 years, not in excess of 50 years, is a failure of planning</w:t>
            </w:r>
            <w:r w:rsidRPr="00275AE7">
              <w:rPr>
                <w:rFonts w:cs="Arial"/>
                <w:color w:val="7030A0"/>
                <w:szCs w:val="22"/>
                <w:lang w:eastAsia="en-US"/>
              </w:rPr>
              <w:t xml:space="preserve">. It is recommended that </w:t>
            </w:r>
            <w:r>
              <w:rPr>
                <w:rFonts w:cs="Arial"/>
                <w:color w:val="7030A0"/>
                <w:szCs w:val="22"/>
                <w:lang w:eastAsia="en-US"/>
              </w:rPr>
              <w:t xml:space="preserve">the </w:t>
            </w:r>
            <w:r w:rsidRPr="00275AE7">
              <w:rPr>
                <w:rFonts w:cs="Arial"/>
                <w:color w:val="7030A0"/>
                <w:szCs w:val="22"/>
                <w:lang w:eastAsia="en-US"/>
              </w:rPr>
              <w:t>ESB complete a full risk impact assessment to determine the impact of each of the residual risks identified.</w:t>
            </w:r>
          </w:p>
          <w:p w14:paraId="0FF28F3F" w14:textId="77777777" w:rsidR="009676C3" w:rsidRPr="00275AE7" w:rsidRDefault="009676C3" w:rsidP="009676C3">
            <w:pPr>
              <w:autoSpaceDE w:val="0"/>
              <w:autoSpaceDN w:val="0"/>
              <w:adjustRightInd w:val="0"/>
              <w:snapToGrid/>
              <w:rPr>
                <w:rFonts w:cs="Arial"/>
                <w:color w:val="7030A0"/>
                <w:szCs w:val="22"/>
                <w:lang w:eastAsia="en-US"/>
              </w:rPr>
            </w:pPr>
          </w:p>
          <w:p w14:paraId="676E0B99" w14:textId="77777777" w:rsidR="009676C3" w:rsidRPr="00275AE7" w:rsidRDefault="009676C3" w:rsidP="009676C3">
            <w:pPr>
              <w:autoSpaceDE w:val="0"/>
              <w:autoSpaceDN w:val="0"/>
              <w:adjustRightInd w:val="0"/>
              <w:snapToGrid/>
              <w:rPr>
                <w:rFonts w:cs="Arial"/>
                <w:color w:val="7030A0"/>
                <w:szCs w:val="22"/>
                <w:lang w:eastAsia="en-US"/>
              </w:rPr>
            </w:pPr>
            <w:r w:rsidRPr="00275AE7">
              <w:rPr>
                <w:rFonts w:cs="Arial"/>
                <w:color w:val="7030A0"/>
                <w:szCs w:val="22"/>
                <w:lang w:eastAsia="en-US"/>
              </w:rPr>
              <w:t>Closures of coal plants may arrive faster than forecast in expected closure years (</w:t>
            </w:r>
            <w:r>
              <w:rPr>
                <w:rFonts w:cs="Arial"/>
                <w:color w:val="7030A0"/>
                <w:szCs w:val="22"/>
                <w:lang w:eastAsia="en-US"/>
              </w:rPr>
              <w:t>shown in F</w:t>
            </w:r>
            <w:r w:rsidRPr="00275AE7">
              <w:rPr>
                <w:rFonts w:cs="Arial"/>
                <w:color w:val="7030A0"/>
                <w:szCs w:val="22"/>
                <w:lang w:eastAsia="en-US"/>
              </w:rPr>
              <w:t xml:space="preserve">igure 11 in ESB post 2025 market consultation report). There is potential for coal plants to close early </w:t>
            </w:r>
            <w:r>
              <w:rPr>
                <w:rFonts w:cs="Arial"/>
                <w:color w:val="7030A0"/>
                <w:szCs w:val="22"/>
                <w:lang w:eastAsia="en-US"/>
              </w:rPr>
              <w:t>due to erosion of profitability</w:t>
            </w:r>
            <w:r w:rsidRPr="00275AE7">
              <w:rPr>
                <w:rFonts w:cs="Arial"/>
                <w:color w:val="7030A0"/>
                <w:szCs w:val="22"/>
                <w:lang w:eastAsia="en-US"/>
              </w:rPr>
              <w:t xml:space="preserve">. This may occur </w:t>
            </w:r>
            <w:r>
              <w:rPr>
                <w:rFonts w:cs="Arial"/>
                <w:color w:val="7030A0"/>
                <w:szCs w:val="22"/>
                <w:lang w:eastAsia="en-US"/>
              </w:rPr>
              <w:t>in the short to medium term as the NEM sees</w:t>
            </w:r>
            <w:r w:rsidRPr="00275AE7">
              <w:rPr>
                <w:rFonts w:cs="Arial"/>
                <w:color w:val="7030A0"/>
                <w:szCs w:val="22"/>
                <w:lang w:eastAsia="en-US"/>
              </w:rPr>
              <w:t xml:space="preserve"> reducing wholesale electricity prices as large volumes of renewable energy capacity </w:t>
            </w:r>
            <w:r>
              <w:rPr>
                <w:rFonts w:cs="Arial"/>
                <w:color w:val="7030A0"/>
                <w:szCs w:val="22"/>
                <w:lang w:eastAsia="en-US"/>
              </w:rPr>
              <w:t>are</w:t>
            </w:r>
            <w:r w:rsidRPr="00275AE7">
              <w:rPr>
                <w:rFonts w:cs="Arial"/>
                <w:color w:val="7030A0"/>
                <w:szCs w:val="22"/>
                <w:lang w:eastAsia="en-US"/>
              </w:rPr>
              <w:t xml:space="preserve"> added to the grid at low marginal cost. </w:t>
            </w:r>
          </w:p>
          <w:p w14:paraId="03BFD0C4" w14:textId="77777777" w:rsidR="009676C3" w:rsidRPr="00275AE7" w:rsidRDefault="009676C3" w:rsidP="009676C3">
            <w:pPr>
              <w:autoSpaceDE w:val="0"/>
              <w:autoSpaceDN w:val="0"/>
              <w:adjustRightInd w:val="0"/>
              <w:snapToGrid/>
              <w:rPr>
                <w:rFonts w:cs="Arial"/>
                <w:color w:val="7030A0"/>
                <w:szCs w:val="22"/>
                <w:lang w:eastAsia="en-US"/>
              </w:rPr>
            </w:pPr>
          </w:p>
          <w:p w14:paraId="70B89D0E" w14:textId="77777777" w:rsidR="009676C3" w:rsidRPr="00275AE7" w:rsidRDefault="009676C3" w:rsidP="009676C3">
            <w:pPr>
              <w:autoSpaceDE w:val="0"/>
              <w:autoSpaceDN w:val="0"/>
              <w:adjustRightInd w:val="0"/>
              <w:snapToGrid/>
              <w:rPr>
                <w:rFonts w:cs="Arial"/>
                <w:color w:val="7030A0"/>
                <w:szCs w:val="22"/>
                <w:lang w:eastAsia="en-US"/>
              </w:rPr>
            </w:pPr>
            <w:r w:rsidRPr="00275AE7">
              <w:rPr>
                <w:rFonts w:cs="Arial"/>
                <w:color w:val="7030A0"/>
                <w:szCs w:val="22"/>
                <w:lang w:eastAsia="en-US"/>
              </w:rPr>
              <w:t>Coal plants may also not adhere to advance notice rules, potentially due to plant</w:t>
            </w:r>
            <w:r>
              <w:rPr>
                <w:rFonts w:cs="Arial"/>
                <w:color w:val="7030A0"/>
                <w:szCs w:val="22"/>
                <w:lang w:eastAsia="en-US"/>
              </w:rPr>
              <w:t xml:space="preserve"> failures </w:t>
            </w:r>
            <w:r w:rsidRPr="00275AE7">
              <w:rPr>
                <w:rFonts w:cs="Arial"/>
                <w:color w:val="7030A0"/>
                <w:szCs w:val="22"/>
                <w:lang w:eastAsia="en-US"/>
              </w:rPr>
              <w:t xml:space="preserve">or profitability </w:t>
            </w:r>
            <w:r>
              <w:rPr>
                <w:rFonts w:cs="Arial"/>
                <w:color w:val="7030A0"/>
                <w:szCs w:val="22"/>
                <w:lang w:eastAsia="en-US"/>
              </w:rPr>
              <w:t xml:space="preserve">eroding </w:t>
            </w:r>
            <w:r w:rsidRPr="00275AE7">
              <w:rPr>
                <w:rFonts w:cs="Arial"/>
                <w:color w:val="7030A0"/>
                <w:szCs w:val="22"/>
                <w:lang w:eastAsia="en-US"/>
              </w:rPr>
              <w:t>to a point that operators and owners are under financial pressure to halt operation.</w:t>
            </w:r>
          </w:p>
          <w:p w14:paraId="756E2894" w14:textId="77777777" w:rsidR="009676C3" w:rsidRPr="00275AE7" w:rsidRDefault="009676C3" w:rsidP="009676C3">
            <w:pPr>
              <w:autoSpaceDE w:val="0"/>
              <w:autoSpaceDN w:val="0"/>
              <w:adjustRightInd w:val="0"/>
              <w:snapToGrid/>
              <w:rPr>
                <w:rFonts w:cs="Arial"/>
                <w:color w:val="7030A0"/>
                <w:szCs w:val="22"/>
                <w:lang w:eastAsia="en-US"/>
              </w:rPr>
            </w:pPr>
          </w:p>
          <w:p w14:paraId="1E17B7C5" w14:textId="77777777" w:rsidR="009676C3" w:rsidRDefault="009676C3" w:rsidP="009676C3">
            <w:pPr>
              <w:autoSpaceDE w:val="0"/>
              <w:autoSpaceDN w:val="0"/>
              <w:adjustRightInd w:val="0"/>
              <w:snapToGrid/>
              <w:rPr>
                <w:rFonts w:cs="Arial"/>
                <w:color w:val="7030A0"/>
                <w:szCs w:val="22"/>
                <w:lang w:eastAsia="en-US"/>
              </w:rPr>
            </w:pPr>
            <w:r>
              <w:rPr>
                <w:rFonts w:cs="Arial"/>
                <w:color w:val="7030A0"/>
                <w:szCs w:val="22"/>
                <w:lang w:eastAsia="en-US"/>
              </w:rPr>
              <w:t>I</w:t>
            </w:r>
            <w:r w:rsidRPr="00275AE7">
              <w:rPr>
                <w:rFonts w:cs="Arial"/>
                <w:color w:val="7030A0"/>
                <w:szCs w:val="22"/>
                <w:lang w:eastAsia="en-US"/>
              </w:rPr>
              <w:t xml:space="preserve">nvestment signals in replacement capacity and transmission </w:t>
            </w:r>
            <w:r>
              <w:rPr>
                <w:rFonts w:cs="Arial"/>
                <w:color w:val="7030A0"/>
                <w:szCs w:val="22"/>
                <w:lang w:eastAsia="en-US"/>
              </w:rPr>
              <w:t>must</w:t>
            </w:r>
            <w:r w:rsidRPr="00275AE7">
              <w:rPr>
                <w:rFonts w:cs="Arial"/>
                <w:color w:val="7030A0"/>
                <w:szCs w:val="22"/>
                <w:lang w:eastAsia="en-US"/>
              </w:rPr>
              <w:t xml:space="preserve"> be enhanced to ensure capacity is built and operational before closures. Investment signals encouraging capacity build may lead to initial temporary overbuild, reducing spot market prices until closures catch up.</w:t>
            </w:r>
            <w:r>
              <w:rPr>
                <w:rFonts w:cs="Arial"/>
                <w:color w:val="7030A0"/>
                <w:szCs w:val="22"/>
                <w:lang w:eastAsia="en-US"/>
              </w:rPr>
              <w:t xml:space="preserve"> This risk will need to be managed.</w:t>
            </w:r>
            <w:r w:rsidRPr="00275AE7">
              <w:rPr>
                <w:rFonts w:cs="Arial"/>
                <w:color w:val="7030A0"/>
                <w:szCs w:val="22"/>
                <w:lang w:eastAsia="en-US"/>
              </w:rPr>
              <w:t xml:space="preserve"> </w:t>
            </w:r>
          </w:p>
          <w:p w14:paraId="0EF1B9BD" w14:textId="77777777" w:rsidR="009676C3" w:rsidRDefault="009676C3" w:rsidP="009676C3">
            <w:pPr>
              <w:autoSpaceDE w:val="0"/>
              <w:autoSpaceDN w:val="0"/>
              <w:adjustRightInd w:val="0"/>
              <w:snapToGrid/>
              <w:rPr>
                <w:rFonts w:cs="Arial"/>
                <w:color w:val="7030A0"/>
                <w:szCs w:val="22"/>
                <w:lang w:eastAsia="en-US"/>
              </w:rPr>
            </w:pPr>
          </w:p>
          <w:p w14:paraId="6A6F51D6" w14:textId="13B38D4A" w:rsidR="009676C3" w:rsidRPr="00275AE7" w:rsidRDefault="009676C3" w:rsidP="009676C3">
            <w:pPr>
              <w:autoSpaceDE w:val="0"/>
              <w:autoSpaceDN w:val="0"/>
              <w:adjustRightInd w:val="0"/>
              <w:snapToGrid/>
              <w:rPr>
                <w:rFonts w:cs="Arial"/>
                <w:color w:val="7030A0"/>
                <w:szCs w:val="22"/>
                <w:lang w:eastAsia="en-US"/>
              </w:rPr>
            </w:pPr>
            <w:r>
              <w:rPr>
                <w:rFonts w:cs="Arial"/>
                <w:color w:val="7030A0"/>
                <w:szCs w:val="22"/>
                <w:lang w:eastAsia="en-US"/>
              </w:rPr>
              <w:t>C</w:t>
            </w:r>
            <w:r w:rsidRPr="00275AE7">
              <w:rPr>
                <w:rFonts w:cs="Arial"/>
                <w:color w:val="7030A0"/>
                <w:szCs w:val="22"/>
                <w:lang w:eastAsia="en-US"/>
              </w:rPr>
              <w:t>losures of coal plants will likely lead to windfalls for the remaining open coal plants</w:t>
            </w:r>
            <w:r w:rsidR="00956D41">
              <w:rPr>
                <w:rFonts w:cs="Arial"/>
                <w:color w:val="7030A0"/>
                <w:szCs w:val="22"/>
                <w:lang w:eastAsia="en-US"/>
              </w:rPr>
              <w:t xml:space="preserve"> in the absence of investment in replacement capacity ahead of time</w:t>
            </w:r>
            <w:r w:rsidRPr="00275AE7">
              <w:rPr>
                <w:rFonts w:cs="Arial"/>
                <w:color w:val="7030A0"/>
                <w:szCs w:val="22"/>
                <w:lang w:eastAsia="en-US"/>
              </w:rPr>
              <w:t xml:space="preserve">. Regional closures may drive large changes in supply across NEM jurisdictions (for example, QLD exporting to NSW), leading to large price differences. </w:t>
            </w:r>
            <w:r>
              <w:rPr>
                <w:rFonts w:cs="Arial"/>
                <w:color w:val="7030A0"/>
                <w:szCs w:val="22"/>
                <w:lang w:eastAsia="en-US"/>
              </w:rPr>
              <w:t>This risk must also be managed.</w:t>
            </w:r>
          </w:p>
          <w:p w14:paraId="2ECB7E69" w14:textId="1F848BD9" w:rsidR="003E7B86" w:rsidRPr="00B35EA1" w:rsidRDefault="003E7B86" w:rsidP="00B35EA1">
            <w:pPr>
              <w:autoSpaceDE w:val="0"/>
              <w:autoSpaceDN w:val="0"/>
              <w:adjustRightInd w:val="0"/>
              <w:snapToGrid/>
              <w:rPr>
                <w:rFonts w:cs="Arial"/>
                <w:color w:val="000000"/>
                <w:szCs w:val="22"/>
                <w:lang w:eastAsia="en-US"/>
              </w:rPr>
            </w:pPr>
          </w:p>
        </w:tc>
      </w:tr>
      <w:tr w:rsidR="00B35EA1" w:rsidRPr="00B35EA1" w14:paraId="70BDD446" w14:textId="77777777" w:rsidTr="001F488F">
        <w:trPr>
          <w:trHeight w:val="232"/>
        </w:trPr>
        <w:tc>
          <w:tcPr>
            <w:tcW w:w="1276" w:type="dxa"/>
          </w:tcPr>
          <w:p w14:paraId="2B35DA0C"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lastRenderedPageBreak/>
              <w:t xml:space="preserve">2 </w:t>
            </w:r>
          </w:p>
        </w:tc>
        <w:tc>
          <w:tcPr>
            <w:tcW w:w="6946" w:type="dxa"/>
          </w:tcPr>
          <w:p w14:paraId="4FD7BEFD" w14:textId="77777777" w:rsidR="003E7B86"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Are these risks likely to be material, particularly those relating to consumer costs?</w:t>
            </w:r>
          </w:p>
          <w:p w14:paraId="3E1A093A" w14:textId="26CF3432" w:rsidR="003E7B86" w:rsidRDefault="003E7B86" w:rsidP="00B35EA1">
            <w:pPr>
              <w:autoSpaceDE w:val="0"/>
              <w:autoSpaceDN w:val="0"/>
              <w:adjustRightInd w:val="0"/>
              <w:snapToGrid/>
              <w:rPr>
                <w:rFonts w:cs="Arial"/>
                <w:color w:val="000000"/>
                <w:szCs w:val="22"/>
                <w:lang w:eastAsia="en-US"/>
              </w:rPr>
            </w:pPr>
          </w:p>
          <w:p w14:paraId="5C2D9414" w14:textId="77777777" w:rsidR="009676C3" w:rsidRPr="00275AE7" w:rsidRDefault="009676C3" w:rsidP="009676C3">
            <w:pPr>
              <w:autoSpaceDE w:val="0"/>
              <w:autoSpaceDN w:val="0"/>
              <w:adjustRightInd w:val="0"/>
              <w:snapToGrid/>
              <w:rPr>
                <w:rFonts w:cs="Arial"/>
                <w:color w:val="7030A0"/>
                <w:szCs w:val="22"/>
                <w:lang w:eastAsia="en-US"/>
              </w:rPr>
            </w:pPr>
            <w:r w:rsidRPr="00275AE7">
              <w:rPr>
                <w:rFonts w:cs="Arial"/>
                <w:color w:val="7030A0"/>
                <w:szCs w:val="22"/>
                <w:lang w:eastAsia="en-US"/>
              </w:rPr>
              <w:t xml:space="preserve">The residual risks </w:t>
            </w:r>
            <w:r>
              <w:rPr>
                <w:rFonts w:cs="Arial"/>
                <w:color w:val="7030A0"/>
                <w:szCs w:val="22"/>
                <w:lang w:eastAsia="en-US"/>
              </w:rPr>
              <w:t xml:space="preserve">highlighted by ESB </w:t>
            </w:r>
            <w:r w:rsidRPr="00275AE7">
              <w:rPr>
                <w:rFonts w:cs="Arial"/>
                <w:color w:val="7030A0"/>
                <w:szCs w:val="22"/>
                <w:lang w:eastAsia="en-US"/>
              </w:rPr>
              <w:t xml:space="preserve">are likely to be material. As mentioned by the ESB, there is potential for sharp increases in wholesale prices following coal plant exits, with the historical example being Hazelwood. In order to reduce the impact of </w:t>
            </w:r>
            <w:r>
              <w:rPr>
                <w:rFonts w:cs="Arial"/>
                <w:color w:val="7030A0"/>
                <w:szCs w:val="22"/>
                <w:lang w:eastAsia="en-US"/>
              </w:rPr>
              <w:t>this</w:t>
            </w:r>
            <w:r w:rsidRPr="00275AE7">
              <w:rPr>
                <w:rFonts w:cs="Arial"/>
                <w:color w:val="7030A0"/>
                <w:szCs w:val="22"/>
                <w:lang w:eastAsia="en-US"/>
              </w:rPr>
              <w:t xml:space="preserve"> risk</w:t>
            </w:r>
            <w:r>
              <w:rPr>
                <w:rFonts w:cs="Arial"/>
                <w:color w:val="7030A0"/>
                <w:szCs w:val="22"/>
                <w:lang w:eastAsia="en-US"/>
              </w:rPr>
              <w:t xml:space="preserve"> and other risks associated with coal plant exits</w:t>
            </w:r>
            <w:r w:rsidRPr="00275AE7">
              <w:rPr>
                <w:rFonts w:cs="Arial"/>
                <w:color w:val="7030A0"/>
                <w:szCs w:val="22"/>
                <w:lang w:eastAsia="en-US"/>
              </w:rPr>
              <w:t>, the market design initiatives, including resource adequacy mechanisms, essential system services, and two-sided markets, will need to be developed</w:t>
            </w:r>
            <w:r>
              <w:rPr>
                <w:rFonts w:cs="Arial"/>
                <w:color w:val="7030A0"/>
                <w:szCs w:val="22"/>
                <w:lang w:eastAsia="en-US"/>
              </w:rPr>
              <w:t>,</w:t>
            </w:r>
            <w:r w:rsidRPr="00275AE7">
              <w:rPr>
                <w:rFonts w:cs="Arial"/>
                <w:color w:val="7030A0"/>
                <w:szCs w:val="22"/>
                <w:lang w:eastAsia="en-US"/>
              </w:rPr>
              <w:t xml:space="preserve"> with the goal of protecting consumers against risk of price increase</w:t>
            </w:r>
            <w:r>
              <w:rPr>
                <w:rFonts w:cs="Arial"/>
                <w:color w:val="7030A0"/>
                <w:szCs w:val="22"/>
                <w:lang w:eastAsia="en-US"/>
              </w:rPr>
              <w:t>s and ensuring acceptable levels of reliability</w:t>
            </w:r>
            <w:r w:rsidRPr="00275AE7">
              <w:rPr>
                <w:rFonts w:cs="Arial"/>
                <w:color w:val="7030A0"/>
                <w:szCs w:val="22"/>
                <w:lang w:eastAsia="en-US"/>
              </w:rPr>
              <w:t>.</w:t>
            </w:r>
          </w:p>
          <w:p w14:paraId="4BFAD4AD" w14:textId="06ADC483" w:rsidR="00B35EA1" w:rsidRPr="00B35EA1" w:rsidRDefault="00B35EA1" w:rsidP="00B35EA1">
            <w:pPr>
              <w:autoSpaceDE w:val="0"/>
              <w:autoSpaceDN w:val="0"/>
              <w:adjustRightInd w:val="0"/>
              <w:snapToGrid/>
              <w:rPr>
                <w:rFonts w:cs="Arial"/>
                <w:color w:val="000000"/>
                <w:szCs w:val="22"/>
                <w:lang w:eastAsia="en-US"/>
              </w:rPr>
            </w:pPr>
          </w:p>
        </w:tc>
      </w:tr>
      <w:tr w:rsidR="00B35EA1" w:rsidRPr="00B35EA1" w14:paraId="45798ABC" w14:textId="77777777" w:rsidTr="001F488F">
        <w:trPr>
          <w:trHeight w:val="232"/>
        </w:trPr>
        <w:tc>
          <w:tcPr>
            <w:tcW w:w="1276" w:type="dxa"/>
          </w:tcPr>
          <w:p w14:paraId="3D85830E"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3 </w:t>
            </w:r>
          </w:p>
        </w:tc>
        <w:tc>
          <w:tcPr>
            <w:tcW w:w="6946" w:type="dxa"/>
          </w:tcPr>
          <w:p w14:paraId="396A7F76" w14:textId="77777777" w:rsid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Are there additional or alternate market design approaches that will ensure the transition away from thermal generation is least cost to consumers? </w:t>
            </w:r>
          </w:p>
          <w:p w14:paraId="6FEA71CA" w14:textId="4B4A067C" w:rsidR="003E7B86" w:rsidRDefault="003E7B86" w:rsidP="00B35EA1">
            <w:pPr>
              <w:autoSpaceDE w:val="0"/>
              <w:autoSpaceDN w:val="0"/>
              <w:adjustRightInd w:val="0"/>
              <w:snapToGrid/>
              <w:rPr>
                <w:rFonts w:cs="Arial"/>
                <w:color w:val="000000"/>
                <w:szCs w:val="22"/>
                <w:lang w:eastAsia="en-US"/>
              </w:rPr>
            </w:pPr>
          </w:p>
          <w:p w14:paraId="66EC4F05" w14:textId="29F4E1C5" w:rsidR="009676C3" w:rsidRDefault="009676C3" w:rsidP="009676C3">
            <w:pPr>
              <w:autoSpaceDE w:val="0"/>
              <w:autoSpaceDN w:val="0"/>
              <w:adjustRightInd w:val="0"/>
              <w:snapToGrid/>
              <w:rPr>
                <w:rFonts w:cs="Arial"/>
                <w:color w:val="7030A0"/>
                <w:szCs w:val="22"/>
                <w:lang w:eastAsia="en-US"/>
              </w:rPr>
            </w:pPr>
            <w:r w:rsidRPr="00275AE7">
              <w:rPr>
                <w:rFonts w:cs="Arial"/>
                <w:color w:val="7030A0"/>
                <w:szCs w:val="22"/>
                <w:lang w:eastAsia="en-US"/>
              </w:rPr>
              <w:t>Past events, in particular the Hazelwood example, suggest that owners of thermal assets may not behave as the market and/or governments prefer</w:t>
            </w:r>
            <w:r w:rsidR="00956D41">
              <w:rPr>
                <w:rFonts w:cs="Arial"/>
                <w:color w:val="7030A0"/>
                <w:szCs w:val="22"/>
                <w:lang w:eastAsia="en-US"/>
              </w:rPr>
              <w:t>, particularly for foreign domiciled private firms</w:t>
            </w:r>
            <w:r w:rsidRPr="00275AE7">
              <w:rPr>
                <w:rFonts w:cs="Arial"/>
                <w:color w:val="7030A0"/>
                <w:szCs w:val="22"/>
                <w:lang w:eastAsia="en-US"/>
              </w:rPr>
              <w:t xml:space="preserve">. Substantial risks </w:t>
            </w:r>
            <w:r w:rsidRPr="00275AE7">
              <w:rPr>
                <w:rFonts w:cs="Arial"/>
                <w:color w:val="7030A0"/>
                <w:szCs w:val="22"/>
                <w:lang w:eastAsia="en-US"/>
              </w:rPr>
              <w:lastRenderedPageBreak/>
              <w:t>can be mitigated by</w:t>
            </w:r>
            <w:r w:rsidR="00956D41">
              <w:rPr>
                <w:rFonts w:cs="Arial"/>
                <w:color w:val="7030A0"/>
                <w:szCs w:val="22"/>
                <w:lang w:eastAsia="en-US"/>
              </w:rPr>
              <w:t xml:space="preserve"> a planned</w:t>
            </w:r>
            <w:r w:rsidRPr="00275AE7">
              <w:rPr>
                <w:rFonts w:cs="Arial"/>
                <w:color w:val="7030A0"/>
                <w:szCs w:val="22"/>
                <w:lang w:eastAsia="en-US"/>
              </w:rPr>
              <w:t xml:space="preserve"> reduc</w:t>
            </w:r>
            <w:r w:rsidR="00956D41">
              <w:rPr>
                <w:rFonts w:cs="Arial"/>
                <w:color w:val="7030A0"/>
                <w:szCs w:val="22"/>
                <w:lang w:eastAsia="en-US"/>
              </w:rPr>
              <w:t>tion in</w:t>
            </w:r>
            <w:r w:rsidRPr="00275AE7">
              <w:rPr>
                <w:rFonts w:cs="Arial"/>
                <w:color w:val="7030A0"/>
                <w:szCs w:val="22"/>
                <w:lang w:eastAsia="en-US"/>
              </w:rPr>
              <w:t xml:space="preserve"> dependence on </w:t>
            </w:r>
            <w:r w:rsidR="00956D41">
              <w:rPr>
                <w:rFonts w:cs="Arial"/>
                <w:color w:val="7030A0"/>
                <w:szCs w:val="22"/>
                <w:lang w:eastAsia="en-US"/>
              </w:rPr>
              <w:t xml:space="preserve">aging, high carbon emissions intensive </w:t>
            </w:r>
            <w:r w:rsidRPr="00275AE7">
              <w:rPr>
                <w:rFonts w:cs="Arial"/>
                <w:color w:val="7030A0"/>
                <w:szCs w:val="22"/>
                <w:lang w:eastAsia="en-US"/>
              </w:rPr>
              <w:t>thermal generation as quickly as possible. It would be prudent to look at contingencies in the event of rapid thermal plant exits</w:t>
            </w:r>
            <w:r w:rsidR="00956D41">
              <w:rPr>
                <w:rFonts w:cs="Arial"/>
                <w:color w:val="7030A0"/>
                <w:szCs w:val="22"/>
                <w:lang w:eastAsia="en-US"/>
              </w:rPr>
              <w:t>, given the speed of international market developments in this area</w:t>
            </w:r>
            <w:r w:rsidRPr="00275AE7">
              <w:rPr>
                <w:rFonts w:cs="Arial"/>
                <w:color w:val="7030A0"/>
                <w:szCs w:val="22"/>
                <w:lang w:eastAsia="en-US"/>
              </w:rPr>
              <w:t>.</w:t>
            </w:r>
            <w:r w:rsidR="00956D41">
              <w:rPr>
                <w:rFonts w:cs="Arial"/>
                <w:color w:val="7030A0"/>
                <w:szCs w:val="22"/>
                <w:lang w:eastAsia="en-US"/>
              </w:rPr>
              <w:t xml:space="preserve"> Global financial markets are rapidly pricing in stranded asset risks and BlackRock’s warning of AGL to accelerate its decarbonisation planning in October 2020</w:t>
            </w:r>
            <w:r w:rsidR="00956D41">
              <w:rPr>
                <w:rStyle w:val="FootnoteReference"/>
                <w:rFonts w:cs="Arial"/>
                <w:color w:val="7030A0"/>
                <w:szCs w:val="22"/>
                <w:lang w:eastAsia="en-US"/>
              </w:rPr>
              <w:footnoteReference w:id="1"/>
            </w:r>
            <w:r w:rsidR="00956D41">
              <w:rPr>
                <w:rFonts w:cs="Arial"/>
                <w:color w:val="7030A0"/>
                <w:szCs w:val="22"/>
                <w:lang w:eastAsia="en-US"/>
              </w:rPr>
              <w:t xml:space="preserve"> is a clear sign that Australia operates in a global financial market </w:t>
            </w:r>
            <w:r w:rsidR="00DF5B1F">
              <w:rPr>
                <w:rFonts w:cs="Arial"/>
                <w:color w:val="7030A0"/>
                <w:szCs w:val="22"/>
                <w:lang w:eastAsia="en-US"/>
              </w:rPr>
              <w:t>where investors, insurers and lenders</w:t>
            </w:r>
            <w:r w:rsidR="00956D41">
              <w:rPr>
                <w:rFonts w:cs="Arial"/>
                <w:color w:val="7030A0"/>
                <w:szCs w:val="22"/>
                <w:lang w:eastAsia="en-US"/>
              </w:rPr>
              <w:t xml:space="preserve"> </w:t>
            </w:r>
            <w:r w:rsidR="00DF5B1F">
              <w:rPr>
                <w:rFonts w:cs="Arial"/>
                <w:color w:val="7030A0"/>
                <w:szCs w:val="22"/>
                <w:lang w:eastAsia="en-US"/>
              </w:rPr>
              <w:t>are</w:t>
            </w:r>
            <w:r w:rsidR="00956D41">
              <w:rPr>
                <w:rFonts w:cs="Arial"/>
                <w:color w:val="7030A0"/>
                <w:szCs w:val="22"/>
                <w:lang w:eastAsia="en-US"/>
              </w:rPr>
              <w:t xml:space="preserve"> increasingly aligning with the Paris Agreement.</w:t>
            </w:r>
          </w:p>
          <w:p w14:paraId="12A06888" w14:textId="77777777" w:rsidR="009676C3" w:rsidRDefault="009676C3" w:rsidP="009676C3">
            <w:pPr>
              <w:autoSpaceDE w:val="0"/>
              <w:autoSpaceDN w:val="0"/>
              <w:adjustRightInd w:val="0"/>
              <w:snapToGrid/>
              <w:rPr>
                <w:rFonts w:cs="Arial"/>
                <w:color w:val="7030A0"/>
                <w:szCs w:val="22"/>
                <w:lang w:eastAsia="en-US"/>
              </w:rPr>
            </w:pPr>
          </w:p>
          <w:p w14:paraId="2ED6EA98" w14:textId="77777777" w:rsidR="009676C3" w:rsidRPr="00275AE7" w:rsidRDefault="009676C3" w:rsidP="009676C3">
            <w:pPr>
              <w:autoSpaceDE w:val="0"/>
              <w:autoSpaceDN w:val="0"/>
              <w:adjustRightInd w:val="0"/>
              <w:snapToGrid/>
              <w:rPr>
                <w:rFonts w:cs="Arial"/>
                <w:color w:val="7030A0"/>
                <w:szCs w:val="22"/>
                <w:lang w:eastAsia="en-US"/>
              </w:rPr>
            </w:pPr>
            <w:r>
              <w:rPr>
                <w:rFonts w:cs="Arial"/>
                <w:color w:val="7030A0"/>
                <w:szCs w:val="22"/>
                <w:lang w:eastAsia="en-US"/>
              </w:rPr>
              <w:t>Contingent scenario planning, whereby jurisdictions undertake some planning for unexpected events, is recommended to ensure jurisdictions are prepared for future occurrences. This option should be developed further.</w:t>
            </w:r>
          </w:p>
          <w:p w14:paraId="05F2A41C" w14:textId="77777777" w:rsidR="009676C3" w:rsidRDefault="009676C3" w:rsidP="009676C3">
            <w:pPr>
              <w:autoSpaceDE w:val="0"/>
              <w:autoSpaceDN w:val="0"/>
              <w:adjustRightInd w:val="0"/>
              <w:snapToGrid/>
              <w:rPr>
                <w:rFonts w:cs="Arial"/>
                <w:color w:val="7030A0"/>
                <w:szCs w:val="22"/>
                <w:lang w:eastAsia="en-US"/>
              </w:rPr>
            </w:pPr>
          </w:p>
          <w:p w14:paraId="488E864F" w14:textId="77777777" w:rsidR="009676C3" w:rsidRDefault="009676C3" w:rsidP="009676C3">
            <w:pPr>
              <w:autoSpaceDE w:val="0"/>
              <w:autoSpaceDN w:val="0"/>
              <w:adjustRightInd w:val="0"/>
              <w:snapToGrid/>
              <w:rPr>
                <w:rFonts w:cs="Arial"/>
                <w:color w:val="7030A0"/>
                <w:szCs w:val="22"/>
                <w:lang w:eastAsia="en-US"/>
              </w:rPr>
            </w:pPr>
            <w:r w:rsidRPr="00275AE7">
              <w:rPr>
                <w:rFonts w:cs="Arial"/>
                <w:color w:val="7030A0"/>
                <w:szCs w:val="22"/>
                <w:lang w:eastAsia="en-US"/>
              </w:rPr>
              <w:t>Major transformation of national infrastructure will have a substantial cost, and consumers will ultimately bear that cost. To maximum extent, the existing transmission, distribution, and generation assets should be re-used. To do this, the ESB can develop regulatory arrangements supporting the development of REZs</w:t>
            </w:r>
            <w:r>
              <w:rPr>
                <w:rFonts w:cs="Arial"/>
                <w:color w:val="7030A0"/>
                <w:szCs w:val="22"/>
                <w:lang w:eastAsia="en-US"/>
              </w:rPr>
              <w:t xml:space="preserve">, </w:t>
            </w:r>
            <w:r w:rsidRPr="00275AE7">
              <w:rPr>
                <w:rFonts w:cs="Arial"/>
                <w:color w:val="7030A0"/>
                <w:szCs w:val="22"/>
                <w:lang w:eastAsia="en-US"/>
              </w:rPr>
              <w:t>the retrofit of generators to run in SynCon mode</w:t>
            </w:r>
            <w:r>
              <w:rPr>
                <w:rFonts w:cs="Arial"/>
                <w:color w:val="7030A0"/>
                <w:szCs w:val="22"/>
                <w:lang w:eastAsia="en-US"/>
              </w:rPr>
              <w:t xml:space="preserve"> and other arrangements to support efficient use of existing infrastructure.</w:t>
            </w:r>
          </w:p>
          <w:p w14:paraId="1EC3711F" w14:textId="77777777" w:rsidR="009676C3" w:rsidRPr="00275AE7" w:rsidRDefault="009676C3" w:rsidP="009676C3">
            <w:pPr>
              <w:autoSpaceDE w:val="0"/>
              <w:autoSpaceDN w:val="0"/>
              <w:adjustRightInd w:val="0"/>
              <w:snapToGrid/>
              <w:rPr>
                <w:rFonts w:cs="Arial"/>
                <w:color w:val="7030A0"/>
                <w:szCs w:val="22"/>
                <w:lang w:eastAsia="en-US"/>
              </w:rPr>
            </w:pPr>
          </w:p>
          <w:p w14:paraId="4AD785BB" w14:textId="77777777" w:rsidR="009676C3" w:rsidRPr="00275AE7" w:rsidRDefault="009676C3" w:rsidP="009676C3">
            <w:pPr>
              <w:autoSpaceDE w:val="0"/>
              <w:autoSpaceDN w:val="0"/>
              <w:adjustRightInd w:val="0"/>
              <w:snapToGrid/>
              <w:rPr>
                <w:rFonts w:cs="Arial"/>
                <w:color w:val="7030A0"/>
                <w:szCs w:val="22"/>
                <w:lang w:eastAsia="en-US"/>
              </w:rPr>
            </w:pPr>
            <w:r w:rsidRPr="00275AE7">
              <w:rPr>
                <w:rFonts w:cs="Arial"/>
                <w:color w:val="7030A0"/>
                <w:szCs w:val="22"/>
                <w:lang w:eastAsia="en-US"/>
              </w:rPr>
              <w:t>Renewable generators, demand response and storage technologies are more modular and have shorter lead times than coal-fired and gas-powered generation. These technologies can be implemented at scale to smooth the impact of exiting coal plant generators</w:t>
            </w:r>
            <w:r>
              <w:rPr>
                <w:rFonts w:cs="Arial"/>
                <w:color w:val="7030A0"/>
                <w:szCs w:val="22"/>
                <w:lang w:eastAsia="en-US"/>
              </w:rPr>
              <w:t>, leading to less “chunky” step changes in available generation capacity</w:t>
            </w:r>
            <w:r w:rsidRPr="00275AE7">
              <w:rPr>
                <w:rFonts w:cs="Arial"/>
                <w:color w:val="7030A0"/>
                <w:szCs w:val="22"/>
                <w:lang w:eastAsia="en-US"/>
              </w:rPr>
              <w:t>. Market design approaches should ensure efficient investment in these technologies</w:t>
            </w:r>
            <w:r>
              <w:rPr>
                <w:rFonts w:cs="Arial"/>
                <w:color w:val="7030A0"/>
                <w:szCs w:val="22"/>
                <w:lang w:eastAsia="en-US"/>
              </w:rPr>
              <w:t xml:space="preserve"> and any other technologies which can also deliver similar benefits to the grid and consumers</w:t>
            </w:r>
            <w:r w:rsidRPr="00275AE7">
              <w:rPr>
                <w:rFonts w:cs="Arial"/>
                <w:color w:val="7030A0"/>
                <w:szCs w:val="22"/>
                <w:lang w:eastAsia="en-US"/>
              </w:rPr>
              <w:t xml:space="preserve">. </w:t>
            </w:r>
          </w:p>
          <w:p w14:paraId="49323E1C" w14:textId="77777777" w:rsidR="009676C3" w:rsidRPr="00275AE7" w:rsidRDefault="009676C3" w:rsidP="009676C3">
            <w:pPr>
              <w:autoSpaceDE w:val="0"/>
              <w:autoSpaceDN w:val="0"/>
              <w:adjustRightInd w:val="0"/>
              <w:snapToGrid/>
              <w:rPr>
                <w:rFonts w:cs="Arial"/>
                <w:color w:val="7030A0"/>
                <w:szCs w:val="22"/>
                <w:lang w:eastAsia="en-US"/>
              </w:rPr>
            </w:pPr>
          </w:p>
          <w:p w14:paraId="27859695" w14:textId="76B305D0" w:rsidR="009676C3" w:rsidRPr="00275AE7" w:rsidRDefault="009676C3" w:rsidP="009676C3">
            <w:pPr>
              <w:autoSpaceDE w:val="0"/>
              <w:autoSpaceDN w:val="0"/>
              <w:adjustRightInd w:val="0"/>
              <w:snapToGrid/>
              <w:rPr>
                <w:rFonts w:cs="Arial"/>
                <w:color w:val="7030A0"/>
                <w:szCs w:val="22"/>
                <w:lang w:eastAsia="en-US"/>
              </w:rPr>
            </w:pPr>
            <w:r w:rsidRPr="00275AE7">
              <w:rPr>
                <w:rFonts w:cs="Arial"/>
                <w:color w:val="7030A0"/>
                <w:szCs w:val="22"/>
                <w:lang w:eastAsia="en-US"/>
              </w:rPr>
              <w:t xml:space="preserve">The impact of </w:t>
            </w:r>
            <w:r>
              <w:rPr>
                <w:rFonts w:cs="Arial"/>
                <w:color w:val="7030A0"/>
                <w:szCs w:val="22"/>
                <w:lang w:eastAsia="en-US"/>
              </w:rPr>
              <w:t xml:space="preserve">hydrogen-based technologies and EVs </w:t>
            </w:r>
            <w:r w:rsidRPr="00275AE7">
              <w:rPr>
                <w:rFonts w:cs="Arial"/>
                <w:color w:val="7030A0"/>
                <w:szCs w:val="22"/>
                <w:lang w:eastAsia="en-US"/>
              </w:rPr>
              <w:t>on the energy market should also be considered</w:t>
            </w:r>
            <w:r>
              <w:rPr>
                <w:rFonts w:cs="Arial"/>
                <w:color w:val="7030A0"/>
                <w:szCs w:val="22"/>
                <w:lang w:eastAsia="en-US"/>
              </w:rPr>
              <w:t>. Regulatory arrangements to manage these growing technologies in the NEM may be explored to ensure efficient outcomes</w:t>
            </w:r>
            <w:r w:rsidR="00DF5B1F">
              <w:rPr>
                <w:rFonts w:cs="Arial"/>
                <w:color w:val="7030A0"/>
                <w:szCs w:val="22"/>
                <w:lang w:eastAsia="en-US"/>
              </w:rPr>
              <w:t xml:space="preserve"> and maximise the investment, employment and export opportunities this could unlock for Australia</w:t>
            </w:r>
            <w:r>
              <w:rPr>
                <w:rFonts w:cs="Arial"/>
                <w:color w:val="7030A0"/>
                <w:szCs w:val="22"/>
                <w:lang w:eastAsia="en-US"/>
              </w:rPr>
              <w:t>.</w:t>
            </w:r>
          </w:p>
          <w:p w14:paraId="46019337" w14:textId="7E3F8C0A" w:rsidR="003E7B86" w:rsidRPr="00B35EA1" w:rsidRDefault="003E7B86" w:rsidP="00B35EA1">
            <w:pPr>
              <w:autoSpaceDE w:val="0"/>
              <w:autoSpaceDN w:val="0"/>
              <w:adjustRightInd w:val="0"/>
              <w:snapToGrid/>
              <w:rPr>
                <w:rFonts w:cs="Arial"/>
                <w:color w:val="000000"/>
                <w:szCs w:val="22"/>
                <w:lang w:eastAsia="en-US"/>
              </w:rPr>
            </w:pPr>
          </w:p>
        </w:tc>
      </w:tr>
      <w:tr w:rsidR="00B35EA1" w:rsidRPr="00B35EA1" w14:paraId="081C95F2" w14:textId="77777777" w:rsidTr="001F488F">
        <w:trPr>
          <w:trHeight w:val="232"/>
        </w:trPr>
        <w:tc>
          <w:tcPr>
            <w:tcW w:w="1276" w:type="dxa"/>
          </w:tcPr>
          <w:p w14:paraId="62CC1B65"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lastRenderedPageBreak/>
              <w:t xml:space="preserve">4 </w:t>
            </w:r>
          </w:p>
        </w:tc>
        <w:tc>
          <w:tcPr>
            <w:tcW w:w="6946" w:type="dxa"/>
          </w:tcPr>
          <w:p w14:paraId="7629400E" w14:textId="77777777" w:rsidR="003E7B86"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Should the ESB consider and develop any of the options outlined in this section further?</w:t>
            </w:r>
          </w:p>
          <w:p w14:paraId="248C04A2" w14:textId="52D373FE" w:rsidR="003E7B86" w:rsidRDefault="003E7B86" w:rsidP="00B35EA1">
            <w:pPr>
              <w:autoSpaceDE w:val="0"/>
              <w:autoSpaceDN w:val="0"/>
              <w:adjustRightInd w:val="0"/>
              <w:snapToGrid/>
              <w:rPr>
                <w:rFonts w:cs="Arial"/>
                <w:color w:val="000000"/>
                <w:szCs w:val="22"/>
                <w:lang w:eastAsia="en-US"/>
              </w:rPr>
            </w:pPr>
          </w:p>
          <w:p w14:paraId="3554B078" w14:textId="155EFE47" w:rsidR="009676C3" w:rsidRDefault="009676C3" w:rsidP="009676C3">
            <w:pPr>
              <w:autoSpaceDE w:val="0"/>
              <w:autoSpaceDN w:val="0"/>
              <w:adjustRightInd w:val="0"/>
              <w:snapToGrid/>
              <w:rPr>
                <w:rFonts w:cs="Arial"/>
                <w:color w:val="7030A0"/>
                <w:szCs w:val="22"/>
                <w:lang w:eastAsia="en-US"/>
              </w:rPr>
            </w:pPr>
            <w:r w:rsidRPr="00275AE7">
              <w:rPr>
                <w:rFonts w:cs="Arial"/>
                <w:color w:val="7030A0"/>
                <w:szCs w:val="22"/>
                <w:lang w:eastAsia="en-US"/>
              </w:rPr>
              <w:t xml:space="preserve">Capacity market mechanisms </w:t>
            </w:r>
            <w:r>
              <w:rPr>
                <w:rFonts w:cs="Arial"/>
                <w:color w:val="7030A0"/>
                <w:szCs w:val="22"/>
                <w:lang w:eastAsia="en-US"/>
              </w:rPr>
              <w:t>have potential to deliver inefficient outcomes</w:t>
            </w:r>
            <w:r w:rsidRPr="00275AE7">
              <w:rPr>
                <w:rFonts w:cs="Arial"/>
                <w:color w:val="7030A0"/>
                <w:szCs w:val="22"/>
                <w:lang w:eastAsia="en-US"/>
              </w:rPr>
              <w:t xml:space="preserve">. As seen in the Western Australia capacity market example, in 2012 it was estimated that customers were paying $200 million a year in payments for capacity that was not needed. </w:t>
            </w:r>
            <w:r w:rsidRPr="00275AE7">
              <w:rPr>
                <w:rStyle w:val="FootnoteReference"/>
                <w:rFonts w:cs="Arial"/>
                <w:color w:val="7030A0"/>
                <w:szCs w:val="22"/>
                <w:lang w:eastAsia="en-US"/>
              </w:rPr>
              <w:footnoteReference w:id="2"/>
            </w:r>
            <w:r w:rsidRPr="00275AE7">
              <w:rPr>
                <w:rFonts w:cs="Arial"/>
                <w:color w:val="7030A0"/>
                <w:szCs w:val="22"/>
                <w:lang w:eastAsia="en-US"/>
              </w:rPr>
              <w:t xml:space="preserve"> The risk of large unnecessary expense to consumers will need to be prevented or mitigated while looking to the Western Australia example</w:t>
            </w:r>
            <w:r>
              <w:rPr>
                <w:rFonts w:cs="Arial"/>
                <w:color w:val="7030A0"/>
                <w:szCs w:val="22"/>
                <w:lang w:eastAsia="en-US"/>
              </w:rPr>
              <w:t xml:space="preserve"> to understand the risks and potential unintended consequences</w:t>
            </w:r>
            <w:r w:rsidRPr="00275AE7">
              <w:rPr>
                <w:rFonts w:cs="Arial"/>
                <w:color w:val="7030A0"/>
                <w:szCs w:val="22"/>
                <w:lang w:eastAsia="en-US"/>
              </w:rPr>
              <w:t xml:space="preserve">. The risk </w:t>
            </w:r>
            <w:r w:rsidRPr="00275AE7">
              <w:rPr>
                <w:rFonts w:cs="Arial"/>
                <w:color w:val="7030A0"/>
                <w:szCs w:val="22"/>
                <w:lang w:eastAsia="en-US"/>
              </w:rPr>
              <w:lastRenderedPageBreak/>
              <w:t>of inefficiency</w:t>
            </w:r>
            <w:r>
              <w:rPr>
                <w:rFonts w:cs="Arial"/>
                <w:color w:val="7030A0"/>
                <w:szCs w:val="22"/>
                <w:lang w:eastAsia="en-US"/>
              </w:rPr>
              <w:t>,</w:t>
            </w:r>
            <w:r w:rsidRPr="00275AE7">
              <w:rPr>
                <w:rFonts w:cs="Arial"/>
                <w:color w:val="7030A0"/>
                <w:szCs w:val="22"/>
                <w:lang w:eastAsia="en-US"/>
              </w:rPr>
              <w:t xml:space="preserve"> </w:t>
            </w:r>
            <w:r>
              <w:rPr>
                <w:rFonts w:cs="Arial"/>
                <w:color w:val="7030A0"/>
                <w:szCs w:val="22"/>
                <w:lang w:eastAsia="en-US"/>
              </w:rPr>
              <w:t>arising from</w:t>
            </w:r>
            <w:r w:rsidRPr="00275AE7">
              <w:rPr>
                <w:rFonts w:cs="Arial"/>
                <w:color w:val="7030A0"/>
                <w:szCs w:val="22"/>
                <w:lang w:eastAsia="en-US"/>
              </w:rPr>
              <w:t xml:space="preserve"> prolonging the life of a financially un-viable coal-fired or gas-powered generation facility</w:t>
            </w:r>
            <w:r>
              <w:rPr>
                <w:rFonts w:cs="Arial"/>
                <w:color w:val="7030A0"/>
                <w:szCs w:val="22"/>
                <w:lang w:eastAsia="en-US"/>
              </w:rPr>
              <w:t xml:space="preserve">, </w:t>
            </w:r>
            <w:r w:rsidRPr="00275AE7">
              <w:rPr>
                <w:rFonts w:cs="Arial"/>
                <w:color w:val="7030A0"/>
                <w:szCs w:val="22"/>
                <w:lang w:eastAsia="en-US"/>
              </w:rPr>
              <w:t>should be prevented.</w:t>
            </w:r>
            <w:r>
              <w:rPr>
                <w:rFonts w:cs="Arial"/>
                <w:color w:val="7030A0"/>
                <w:szCs w:val="22"/>
                <w:lang w:eastAsia="en-US"/>
              </w:rPr>
              <w:t xml:space="preserve"> </w:t>
            </w:r>
          </w:p>
          <w:p w14:paraId="784D98FF" w14:textId="77777777" w:rsidR="00504148" w:rsidRDefault="00504148" w:rsidP="009676C3">
            <w:pPr>
              <w:autoSpaceDE w:val="0"/>
              <w:autoSpaceDN w:val="0"/>
              <w:adjustRightInd w:val="0"/>
              <w:snapToGrid/>
              <w:rPr>
                <w:rFonts w:cs="Arial"/>
                <w:color w:val="7030A0"/>
                <w:szCs w:val="22"/>
                <w:lang w:eastAsia="en-US"/>
              </w:rPr>
            </w:pPr>
          </w:p>
          <w:p w14:paraId="4B43EE5F" w14:textId="63D0AF43" w:rsidR="004A695F" w:rsidRPr="00B35EA1" w:rsidRDefault="004A695F" w:rsidP="00B35EA1">
            <w:pPr>
              <w:autoSpaceDE w:val="0"/>
              <w:autoSpaceDN w:val="0"/>
              <w:adjustRightInd w:val="0"/>
              <w:snapToGrid/>
              <w:rPr>
                <w:rFonts w:cs="Arial"/>
                <w:color w:val="000000"/>
                <w:szCs w:val="22"/>
                <w:lang w:eastAsia="en-US"/>
              </w:rPr>
            </w:pPr>
          </w:p>
        </w:tc>
      </w:tr>
      <w:tr w:rsidR="00B35EA1" w:rsidRPr="00B35EA1" w14:paraId="58B86350" w14:textId="77777777" w:rsidTr="001F488F">
        <w:trPr>
          <w:trHeight w:val="103"/>
        </w:trPr>
        <w:tc>
          <w:tcPr>
            <w:tcW w:w="1276" w:type="dxa"/>
          </w:tcPr>
          <w:p w14:paraId="4BB119D0"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b/>
                <w:bCs/>
                <w:color w:val="000000"/>
                <w:szCs w:val="22"/>
                <w:lang w:eastAsia="en-US"/>
              </w:rPr>
              <w:lastRenderedPageBreak/>
              <w:t xml:space="preserve">Section 6 </w:t>
            </w:r>
          </w:p>
        </w:tc>
        <w:tc>
          <w:tcPr>
            <w:tcW w:w="6946" w:type="dxa"/>
          </w:tcPr>
          <w:p w14:paraId="6438238A"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b/>
                <w:bCs/>
                <w:color w:val="000000"/>
                <w:szCs w:val="22"/>
                <w:lang w:eastAsia="en-US"/>
              </w:rPr>
              <w:t xml:space="preserve">Essential System Services – Market Design Initiative C </w:t>
            </w:r>
          </w:p>
        </w:tc>
      </w:tr>
      <w:tr w:rsidR="00B35EA1" w:rsidRPr="00B35EA1" w14:paraId="55C7F0CE" w14:textId="77777777" w:rsidTr="001F488F">
        <w:trPr>
          <w:trHeight w:val="232"/>
        </w:trPr>
        <w:tc>
          <w:tcPr>
            <w:tcW w:w="1276" w:type="dxa"/>
          </w:tcPr>
          <w:p w14:paraId="34C6C968" w14:textId="77777777" w:rsidR="00B35EA1" w:rsidRP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1 </w:t>
            </w:r>
          </w:p>
        </w:tc>
        <w:tc>
          <w:tcPr>
            <w:tcW w:w="6946" w:type="dxa"/>
          </w:tcPr>
          <w:p w14:paraId="22693E6F" w14:textId="77777777" w:rsidR="00B35EA1" w:rsidRDefault="00B35EA1" w:rsidP="00B35EA1">
            <w:pPr>
              <w:autoSpaceDE w:val="0"/>
              <w:autoSpaceDN w:val="0"/>
              <w:adjustRightInd w:val="0"/>
              <w:snapToGrid/>
              <w:rPr>
                <w:rFonts w:cs="Arial"/>
                <w:color w:val="000000"/>
                <w:szCs w:val="22"/>
                <w:lang w:eastAsia="en-US"/>
              </w:rPr>
            </w:pPr>
            <w:r w:rsidRPr="00B35EA1">
              <w:rPr>
                <w:rFonts w:cs="Arial"/>
                <w:color w:val="000000"/>
                <w:szCs w:val="22"/>
                <w:lang w:eastAsia="en-US"/>
              </w:rPr>
              <w:t xml:space="preserve">What feedback do you have on the proposed provision of an operating reserve through spot market provision? How could this interact with operating </w:t>
            </w:r>
            <w:r w:rsidRPr="009D6FFB">
              <w:rPr>
                <w:rFonts w:cs="Arial"/>
                <w:color w:val="000000"/>
                <w:szCs w:val="22"/>
                <w:lang w:eastAsia="en-US"/>
              </w:rPr>
              <w:t>reserve procurement for resource adequacy? Will such a mechanism assist manage greater system uncertainty more efficiently than current arrangements? What additional mechanisms might be needed to foster investment needed for a Post-2025 NEM? What are the benefits of this approach? What are the costs and risks?</w:t>
            </w:r>
          </w:p>
          <w:p w14:paraId="4C0C5449" w14:textId="77777777" w:rsidR="003E7B86" w:rsidRDefault="003E7B86" w:rsidP="00B35EA1">
            <w:pPr>
              <w:autoSpaceDE w:val="0"/>
              <w:autoSpaceDN w:val="0"/>
              <w:adjustRightInd w:val="0"/>
              <w:snapToGrid/>
              <w:rPr>
                <w:rFonts w:cs="Arial"/>
                <w:color w:val="000000"/>
                <w:szCs w:val="22"/>
                <w:lang w:eastAsia="en-US"/>
              </w:rPr>
            </w:pPr>
          </w:p>
          <w:p w14:paraId="1ADDA58B" w14:textId="77777777" w:rsidR="003E7B86" w:rsidRPr="000C715E" w:rsidRDefault="0057056B" w:rsidP="00B35EA1">
            <w:pPr>
              <w:autoSpaceDE w:val="0"/>
              <w:autoSpaceDN w:val="0"/>
              <w:adjustRightInd w:val="0"/>
              <w:snapToGrid/>
              <w:rPr>
                <w:rFonts w:cs="Arial"/>
                <w:color w:val="7030A0"/>
                <w:szCs w:val="22"/>
                <w:lang w:eastAsia="en-US"/>
              </w:rPr>
            </w:pPr>
            <w:r w:rsidRPr="000C715E">
              <w:rPr>
                <w:rFonts w:cs="Arial"/>
                <w:color w:val="7030A0"/>
                <w:szCs w:val="22"/>
                <w:lang w:eastAsia="en-US"/>
              </w:rPr>
              <w:t>We agree with the ESB that provision of operating reserves through a spot market is an efficient solution and could be co-optimised with other essential system services. The real-time market has a different purpose in the NEM that the Resource Adequacy Mechanism. There could be ways for market participants to contract such that services can be provided in both, from the same resource, with prioritisation for RAMS when the needs arise. IEEFA is unable to comment on the relative benefits and costs/risks of this approach.</w:t>
            </w:r>
          </w:p>
          <w:p w14:paraId="49297059" w14:textId="3A3B955B" w:rsidR="000C715E" w:rsidRPr="00B35EA1" w:rsidRDefault="000C715E" w:rsidP="00B35EA1">
            <w:pPr>
              <w:autoSpaceDE w:val="0"/>
              <w:autoSpaceDN w:val="0"/>
              <w:adjustRightInd w:val="0"/>
              <w:snapToGrid/>
              <w:rPr>
                <w:rFonts w:cs="Arial"/>
                <w:color w:val="000000"/>
                <w:szCs w:val="22"/>
                <w:lang w:eastAsia="en-US"/>
              </w:rPr>
            </w:pPr>
          </w:p>
        </w:tc>
      </w:tr>
      <w:tr w:rsidR="00B35EA1" w14:paraId="1B18B9DC" w14:textId="77777777" w:rsidTr="001F488F">
        <w:trPr>
          <w:trHeight w:val="864"/>
        </w:trPr>
        <w:tc>
          <w:tcPr>
            <w:tcW w:w="1276" w:type="dxa"/>
          </w:tcPr>
          <w:p w14:paraId="4C3C8385" w14:textId="6BCD5B9F" w:rsidR="00B35EA1" w:rsidRPr="009D6FFB" w:rsidRDefault="00B35EA1">
            <w:pPr>
              <w:pStyle w:val="Default"/>
              <w:rPr>
                <w:rFonts w:asciiTheme="minorHAnsi" w:hAnsiTheme="minorHAnsi"/>
                <w:sz w:val="22"/>
                <w:szCs w:val="22"/>
              </w:rPr>
            </w:pPr>
            <w:r w:rsidRPr="009D6FFB">
              <w:rPr>
                <w:rFonts w:asciiTheme="minorHAnsi" w:hAnsiTheme="minorHAnsi"/>
                <w:sz w:val="22"/>
                <w:szCs w:val="22"/>
              </w:rPr>
              <w:t>2</w:t>
            </w:r>
          </w:p>
        </w:tc>
        <w:tc>
          <w:tcPr>
            <w:tcW w:w="6946" w:type="dxa"/>
          </w:tcPr>
          <w:p w14:paraId="6076F673" w14:textId="77777777" w:rsidR="00B35EA1" w:rsidRDefault="00B35EA1">
            <w:pPr>
              <w:pStyle w:val="Default"/>
              <w:rPr>
                <w:rFonts w:asciiTheme="minorHAnsi" w:hAnsiTheme="minorHAnsi"/>
                <w:sz w:val="22"/>
                <w:szCs w:val="22"/>
              </w:rPr>
            </w:pPr>
            <w:r w:rsidRPr="009D6FFB">
              <w:rPr>
                <w:rFonts w:asciiTheme="minorHAnsi" w:hAnsiTheme="minorHAnsi"/>
                <w:sz w:val="22"/>
                <w:szCs w:val="22"/>
              </w:rPr>
              <w:t>What are your views about developing Fast Frequency Response with FCAS and developing a demand curve for Frequency Response? Will such a mechanism assist manage greater system uncertainty more efficiently than current arrangements. What additional mechanisms might be needed to foster investment for a Post-2025 NEM. What are the benefits of this approach? What are the costs and risks?</w:t>
            </w:r>
          </w:p>
          <w:p w14:paraId="07FD0D20" w14:textId="77777777" w:rsidR="003E7B86" w:rsidRDefault="003E7B86">
            <w:pPr>
              <w:pStyle w:val="Default"/>
              <w:rPr>
                <w:rFonts w:asciiTheme="minorHAnsi" w:hAnsiTheme="minorHAnsi"/>
                <w:sz w:val="22"/>
                <w:szCs w:val="22"/>
              </w:rPr>
            </w:pPr>
          </w:p>
          <w:p w14:paraId="4810854F" w14:textId="77777777" w:rsidR="003E7B86" w:rsidRPr="000C715E" w:rsidRDefault="00B664A3">
            <w:pPr>
              <w:pStyle w:val="Default"/>
              <w:rPr>
                <w:rFonts w:asciiTheme="minorHAnsi" w:hAnsiTheme="minorHAnsi"/>
                <w:color w:val="7030A0"/>
                <w:sz w:val="22"/>
                <w:szCs w:val="22"/>
              </w:rPr>
            </w:pPr>
            <w:r w:rsidRPr="000C715E">
              <w:rPr>
                <w:rFonts w:asciiTheme="minorHAnsi" w:hAnsiTheme="minorHAnsi"/>
                <w:color w:val="7030A0"/>
                <w:sz w:val="22"/>
                <w:szCs w:val="22"/>
              </w:rPr>
              <w:t>Our comments on this are similar to those for the above question.</w:t>
            </w:r>
          </w:p>
          <w:p w14:paraId="488E6DD7" w14:textId="44248509" w:rsidR="000C715E" w:rsidRPr="009D6FFB" w:rsidRDefault="000C715E">
            <w:pPr>
              <w:pStyle w:val="Default"/>
              <w:rPr>
                <w:rFonts w:asciiTheme="minorHAnsi" w:hAnsiTheme="minorHAnsi"/>
                <w:sz w:val="22"/>
                <w:szCs w:val="22"/>
              </w:rPr>
            </w:pPr>
          </w:p>
        </w:tc>
      </w:tr>
      <w:tr w:rsidR="00B35EA1" w14:paraId="179F7410" w14:textId="77777777" w:rsidTr="001F488F">
        <w:trPr>
          <w:trHeight w:val="864"/>
        </w:trPr>
        <w:tc>
          <w:tcPr>
            <w:tcW w:w="1276" w:type="dxa"/>
          </w:tcPr>
          <w:p w14:paraId="5E9234EA" w14:textId="77777777" w:rsidR="00B35EA1" w:rsidRPr="009D6FFB" w:rsidRDefault="00B35EA1">
            <w:pPr>
              <w:pStyle w:val="Default"/>
              <w:rPr>
                <w:rFonts w:asciiTheme="minorHAnsi" w:hAnsiTheme="minorHAnsi"/>
                <w:sz w:val="22"/>
                <w:szCs w:val="22"/>
              </w:rPr>
            </w:pPr>
            <w:r w:rsidRPr="009D6FFB">
              <w:rPr>
                <w:rFonts w:asciiTheme="minorHAnsi" w:hAnsiTheme="minorHAnsi"/>
                <w:sz w:val="22"/>
                <w:szCs w:val="22"/>
              </w:rPr>
              <w:t xml:space="preserve">3 </w:t>
            </w:r>
          </w:p>
        </w:tc>
        <w:tc>
          <w:tcPr>
            <w:tcW w:w="6946" w:type="dxa"/>
          </w:tcPr>
          <w:p w14:paraId="64369871" w14:textId="77777777" w:rsidR="00B35EA1" w:rsidRDefault="00B35EA1">
            <w:pPr>
              <w:pStyle w:val="Default"/>
              <w:rPr>
                <w:rFonts w:asciiTheme="minorHAnsi" w:hAnsiTheme="minorHAnsi"/>
                <w:sz w:val="22"/>
                <w:szCs w:val="22"/>
              </w:rPr>
            </w:pPr>
            <w:r w:rsidRPr="009D6FFB">
              <w:rPr>
                <w:rFonts w:asciiTheme="minorHAnsi" w:hAnsiTheme="minorHAnsi"/>
                <w:sz w:val="22"/>
                <w:szCs w:val="22"/>
              </w:rPr>
              <w:t xml:space="preserve">What are your views on the proposed structured procurement for inertia and system strength by way of NSP provision, bilateral contracts and generator access standards, or through a PSSAS mechanism? Which approach is preferable, what are the relative benefits, risks and costs? Should the ESB instead prioritise the development of spot market for or structured procurement of inertia? What are the relative benefits, risks and costs of such an approach? </w:t>
            </w:r>
          </w:p>
          <w:p w14:paraId="494F73C3" w14:textId="77777777" w:rsidR="003E7B86" w:rsidRDefault="003E7B86">
            <w:pPr>
              <w:pStyle w:val="Default"/>
              <w:rPr>
                <w:rFonts w:asciiTheme="minorHAnsi" w:hAnsiTheme="minorHAnsi"/>
                <w:sz w:val="22"/>
                <w:szCs w:val="22"/>
              </w:rPr>
            </w:pPr>
          </w:p>
          <w:p w14:paraId="67C09471" w14:textId="5A980DA7" w:rsidR="0020412B" w:rsidRPr="000C715E" w:rsidRDefault="0020412B">
            <w:pPr>
              <w:pStyle w:val="Default"/>
              <w:rPr>
                <w:rFonts w:asciiTheme="minorHAnsi" w:hAnsiTheme="minorHAnsi"/>
                <w:color w:val="7030A0"/>
                <w:sz w:val="22"/>
                <w:szCs w:val="22"/>
              </w:rPr>
            </w:pPr>
            <w:r w:rsidRPr="000C715E">
              <w:rPr>
                <w:rFonts w:asciiTheme="minorHAnsi" w:hAnsiTheme="minorHAnsi"/>
                <w:color w:val="7030A0"/>
                <w:sz w:val="22"/>
                <w:szCs w:val="22"/>
              </w:rPr>
              <w:t>In the short to medium term, the proposed methods for procuring inertia and system strength may be plausible.  IEEFA has not analysed the relative merits of each. Beyond this, in the 2025 timeframe, we suggest that inertia and system strength should be sourced through a spot market as suggested, at the same time as examining how and why the NEM remains locked into a stringent synchronous operational framework.</w:t>
            </w:r>
          </w:p>
          <w:p w14:paraId="1650B2B0" w14:textId="30E3B672" w:rsidR="0020412B" w:rsidRDefault="0020412B">
            <w:pPr>
              <w:pStyle w:val="Default"/>
              <w:rPr>
                <w:rFonts w:asciiTheme="minorHAnsi" w:hAnsiTheme="minorHAnsi"/>
                <w:sz w:val="22"/>
                <w:szCs w:val="22"/>
              </w:rPr>
            </w:pPr>
          </w:p>
          <w:p w14:paraId="18196AAC" w14:textId="77777777" w:rsidR="0020412B" w:rsidRPr="000C715E" w:rsidRDefault="0020412B">
            <w:pPr>
              <w:pStyle w:val="Default"/>
              <w:rPr>
                <w:rFonts w:asciiTheme="minorHAnsi" w:hAnsiTheme="minorHAnsi"/>
                <w:color w:val="7030A0"/>
                <w:sz w:val="22"/>
                <w:szCs w:val="22"/>
              </w:rPr>
            </w:pPr>
            <w:r w:rsidRPr="000C715E">
              <w:rPr>
                <w:rFonts w:asciiTheme="minorHAnsi" w:hAnsiTheme="minorHAnsi"/>
                <w:color w:val="7030A0"/>
                <w:sz w:val="22"/>
                <w:szCs w:val="22"/>
              </w:rPr>
              <w:t xml:space="preserve">It is well known that reduced inertia is not fundamentally an issue and should not be viewed as an inhibitor of increased VRE. The adherence to strong frequency control and synchronous operation, and our reliance on inertia, are due to the current dominance of synchronous generators in the NEM.  However, this view is changing as VRE and DER </w:t>
            </w:r>
            <w:r w:rsidRPr="000C715E">
              <w:rPr>
                <w:rFonts w:asciiTheme="minorHAnsi" w:hAnsiTheme="minorHAnsi"/>
                <w:color w:val="7030A0"/>
                <w:sz w:val="22"/>
                <w:szCs w:val="22"/>
              </w:rPr>
              <w:lastRenderedPageBreak/>
              <w:t>increase worldwide, and new technologies demonstrate that inverter-based resources can provide system services and inertia</w:t>
            </w:r>
            <w:r w:rsidRPr="000C715E">
              <w:rPr>
                <w:rStyle w:val="FootnoteReference"/>
                <w:rFonts w:asciiTheme="minorHAnsi" w:hAnsiTheme="minorHAnsi"/>
                <w:color w:val="7030A0"/>
                <w:sz w:val="22"/>
                <w:szCs w:val="22"/>
              </w:rPr>
              <w:footnoteReference w:id="3"/>
            </w:r>
            <w:r w:rsidRPr="000C715E">
              <w:rPr>
                <w:rFonts w:asciiTheme="minorHAnsi" w:hAnsiTheme="minorHAnsi"/>
                <w:color w:val="7030A0"/>
                <w:sz w:val="22"/>
                <w:szCs w:val="22"/>
              </w:rPr>
              <w:t xml:space="preserve">. DC interlinks and advanced controls can also support control of system strength. The ESB would be very aware of these developments, so our comment here is only intended to encourage progressive thinking and acceptance of some risk. </w:t>
            </w:r>
          </w:p>
          <w:p w14:paraId="725AE96B" w14:textId="77777777" w:rsidR="0020412B" w:rsidRPr="000C715E" w:rsidRDefault="0020412B">
            <w:pPr>
              <w:pStyle w:val="Default"/>
              <w:rPr>
                <w:rFonts w:asciiTheme="minorHAnsi" w:hAnsiTheme="minorHAnsi"/>
                <w:color w:val="7030A0"/>
                <w:sz w:val="22"/>
                <w:szCs w:val="22"/>
              </w:rPr>
            </w:pPr>
          </w:p>
          <w:p w14:paraId="6EDE7321" w14:textId="3DE6C61E" w:rsidR="0020412B" w:rsidRPr="000C715E" w:rsidRDefault="0020412B">
            <w:pPr>
              <w:pStyle w:val="Default"/>
              <w:rPr>
                <w:rFonts w:asciiTheme="minorHAnsi" w:hAnsiTheme="minorHAnsi"/>
                <w:color w:val="7030A0"/>
                <w:sz w:val="22"/>
                <w:szCs w:val="22"/>
              </w:rPr>
            </w:pPr>
            <w:r w:rsidRPr="000C715E">
              <w:rPr>
                <w:rFonts w:asciiTheme="minorHAnsi" w:hAnsiTheme="minorHAnsi"/>
                <w:color w:val="7030A0"/>
                <w:sz w:val="22"/>
                <w:szCs w:val="22"/>
              </w:rPr>
              <w:t xml:space="preserve">It is hard to imagine how the NEM will transition to the Post 2025 operation without some level of uncertainty and risk, with associated acceptable faults.  Residential consumers may not be overly concerned with a slightly lower level of reliability, and C+I consumers (such as food industry, hospitals, police, telcos) where continuous supply is critical, should consider managing risk by ensuring they have adequate local backup supply. </w:t>
            </w:r>
            <w:r w:rsidR="00DF5B1F">
              <w:rPr>
                <w:rFonts w:asciiTheme="minorHAnsi" w:hAnsiTheme="minorHAnsi"/>
                <w:color w:val="7030A0"/>
                <w:sz w:val="22"/>
                <w:szCs w:val="22"/>
              </w:rPr>
              <w:t>A technology disruption of this magnitude will entail transition risks and learning by doing</w:t>
            </w:r>
            <w:r w:rsidRPr="000C715E">
              <w:rPr>
                <w:rFonts w:asciiTheme="minorHAnsi" w:hAnsiTheme="minorHAnsi"/>
                <w:color w:val="7030A0"/>
                <w:sz w:val="22"/>
                <w:szCs w:val="22"/>
              </w:rPr>
              <w:t xml:space="preserve">, and everyone should be aware of </w:t>
            </w:r>
            <w:r w:rsidR="00DF5B1F">
              <w:rPr>
                <w:rFonts w:asciiTheme="minorHAnsi" w:hAnsiTheme="minorHAnsi"/>
                <w:color w:val="7030A0"/>
                <w:sz w:val="22"/>
                <w:szCs w:val="22"/>
              </w:rPr>
              <w:t>the potential disruptions during the journey</w:t>
            </w:r>
            <w:r w:rsidRPr="000C715E">
              <w:rPr>
                <w:rFonts w:asciiTheme="minorHAnsi" w:hAnsiTheme="minorHAnsi"/>
                <w:color w:val="7030A0"/>
                <w:sz w:val="22"/>
                <w:szCs w:val="22"/>
              </w:rPr>
              <w:t>.</w:t>
            </w:r>
          </w:p>
          <w:p w14:paraId="2A04DD03" w14:textId="7D302168" w:rsidR="003E7B86" w:rsidRPr="009D6FFB" w:rsidRDefault="003E7B86">
            <w:pPr>
              <w:pStyle w:val="Default"/>
              <w:rPr>
                <w:rFonts w:asciiTheme="minorHAnsi" w:hAnsiTheme="minorHAnsi"/>
                <w:sz w:val="22"/>
                <w:szCs w:val="22"/>
              </w:rPr>
            </w:pPr>
          </w:p>
        </w:tc>
      </w:tr>
      <w:tr w:rsidR="00B35EA1" w14:paraId="61D97D99" w14:textId="77777777" w:rsidTr="001F488F">
        <w:trPr>
          <w:trHeight w:val="612"/>
        </w:trPr>
        <w:tc>
          <w:tcPr>
            <w:tcW w:w="1276" w:type="dxa"/>
          </w:tcPr>
          <w:p w14:paraId="5B345796" w14:textId="77777777" w:rsidR="00B35EA1" w:rsidRPr="009D6FFB" w:rsidRDefault="00B35EA1">
            <w:pPr>
              <w:pStyle w:val="Default"/>
              <w:rPr>
                <w:rFonts w:asciiTheme="minorHAnsi" w:hAnsiTheme="minorHAnsi"/>
                <w:sz w:val="22"/>
                <w:szCs w:val="22"/>
              </w:rPr>
            </w:pPr>
            <w:r w:rsidRPr="009D6FFB">
              <w:rPr>
                <w:rFonts w:asciiTheme="minorHAnsi" w:hAnsiTheme="minorHAnsi"/>
                <w:sz w:val="22"/>
                <w:szCs w:val="22"/>
              </w:rPr>
              <w:lastRenderedPageBreak/>
              <w:t xml:space="preserve">4 </w:t>
            </w:r>
          </w:p>
        </w:tc>
        <w:tc>
          <w:tcPr>
            <w:tcW w:w="6946" w:type="dxa"/>
          </w:tcPr>
          <w:p w14:paraId="0566620E" w14:textId="77777777" w:rsidR="00B35EA1" w:rsidRDefault="00B35EA1">
            <w:pPr>
              <w:pStyle w:val="Default"/>
              <w:rPr>
                <w:rFonts w:asciiTheme="minorHAnsi" w:hAnsiTheme="minorHAnsi"/>
                <w:sz w:val="22"/>
                <w:szCs w:val="22"/>
              </w:rPr>
            </w:pPr>
            <w:r w:rsidRPr="009D6FFB">
              <w:rPr>
                <w:rFonts w:asciiTheme="minorHAnsi" w:hAnsiTheme="minorHAnsi"/>
                <w:sz w:val="22"/>
                <w:szCs w:val="22"/>
              </w:rPr>
              <w:t xml:space="preserve">Given future uncertainties and the potential pace of change, what level of regulatory flexibility should AEMO and TNSPs operate under? What are the benefits, risks, and costs of providing greater flexibility? What level of oversight is necessary for relevant spending? Are there specific areas where more flexibility should be provided or specific pre-agreed triggers? </w:t>
            </w:r>
          </w:p>
          <w:p w14:paraId="1253E1D3" w14:textId="77777777" w:rsidR="003E7B86" w:rsidRDefault="003E7B86">
            <w:pPr>
              <w:pStyle w:val="Default"/>
              <w:rPr>
                <w:rFonts w:asciiTheme="minorHAnsi" w:hAnsiTheme="minorHAnsi"/>
                <w:sz w:val="22"/>
                <w:szCs w:val="22"/>
              </w:rPr>
            </w:pPr>
          </w:p>
          <w:p w14:paraId="423CBD32" w14:textId="08D04291" w:rsidR="003E7B86" w:rsidRDefault="00683459">
            <w:pPr>
              <w:pStyle w:val="Default"/>
              <w:rPr>
                <w:rFonts w:asciiTheme="minorHAnsi" w:hAnsiTheme="minorHAnsi"/>
                <w:color w:val="7030A0"/>
                <w:sz w:val="22"/>
                <w:szCs w:val="22"/>
              </w:rPr>
            </w:pPr>
            <w:r w:rsidRPr="000C715E">
              <w:rPr>
                <w:rFonts w:asciiTheme="minorHAnsi" w:hAnsiTheme="minorHAnsi"/>
                <w:color w:val="7030A0"/>
                <w:sz w:val="22"/>
                <w:szCs w:val="22"/>
              </w:rPr>
              <w:t>The referenced FTI report and the commentary on pages 72-73 of the Consultation Paper suggest a logical approach to regulatory flexibility. As we have mentioned above, the complexity and scale of the transition should not be underestimated, and to over-prescribe the solutions based on existing knowledge would be (in our view) a mistake, leading to undue costs and risks. Australia is at the forefront, and we should be bold in our ambition to transform the NEM, but this will require a lot of experiment, testing, trialling, and with that comes some degree of risk and associated impacts on reliability.  Ultimately, the best Post 2025 Market will emerge after we find out what works and what does not.</w:t>
            </w:r>
          </w:p>
          <w:p w14:paraId="38967CE8" w14:textId="77777777" w:rsidR="00504148" w:rsidRPr="000C715E" w:rsidRDefault="00504148">
            <w:pPr>
              <w:pStyle w:val="Default"/>
              <w:rPr>
                <w:rFonts w:asciiTheme="minorHAnsi" w:hAnsiTheme="minorHAnsi"/>
                <w:color w:val="7030A0"/>
                <w:sz w:val="22"/>
                <w:szCs w:val="22"/>
              </w:rPr>
            </w:pPr>
          </w:p>
          <w:p w14:paraId="0211042A" w14:textId="451E9B68" w:rsidR="00683459" w:rsidRPr="009D6FFB" w:rsidRDefault="00683459">
            <w:pPr>
              <w:pStyle w:val="Default"/>
              <w:rPr>
                <w:rFonts w:asciiTheme="minorHAnsi" w:hAnsiTheme="minorHAnsi"/>
                <w:sz w:val="22"/>
                <w:szCs w:val="22"/>
              </w:rPr>
            </w:pPr>
          </w:p>
        </w:tc>
      </w:tr>
      <w:tr w:rsidR="00B35EA1" w14:paraId="63AF3F0B" w14:textId="77777777" w:rsidTr="001F488F">
        <w:trPr>
          <w:trHeight w:val="103"/>
        </w:trPr>
        <w:tc>
          <w:tcPr>
            <w:tcW w:w="1276" w:type="dxa"/>
          </w:tcPr>
          <w:p w14:paraId="6FB43537" w14:textId="77777777" w:rsidR="00B35EA1" w:rsidRPr="009D6FFB" w:rsidRDefault="00B35EA1">
            <w:pPr>
              <w:pStyle w:val="Default"/>
              <w:rPr>
                <w:rFonts w:asciiTheme="minorHAnsi" w:hAnsiTheme="minorHAnsi"/>
                <w:sz w:val="22"/>
                <w:szCs w:val="22"/>
              </w:rPr>
            </w:pPr>
            <w:r w:rsidRPr="009D6FFB">
              <w:rPr>
                <w:rFonts w:asciiTheme="minorHAnsi" w:hAnsiTheme="minorHAnsi"/>
                <w:b/>
                <w:bCs/>
                <w:sz w:val="22"/>
                <w:szCs w:val="22"/>
              </w:rPr>
              <w:t xml:space="preserve">Section 7 </w:t>
            </w:r>
          </w:p>
        </w:tc>
        <w:tc>
          <w:tcPr>
            <w:tcW w:w="6946" w:type="dxa"/>
          </w:tcPr>
          <w:p w14:paraId="6F6A7FA1" w14:textId="77777777" w:rsidR="00B35EA1" w:rsidRPr="009D6FFB" w:rsidRDefault="00B35EA1">
            <w:pPr>
              <w:pStyle w:val="Default"/>
              <w:rPr>
                <w:rFonts w:asciiTheme="minorHAnsi" w:hAnsiTheme="minorHAnsi"/>
                <w:sz w:val="22"/>
                <w:szCs w:val="22"/>
              </w:rPr>
            </w:pPr>
            <w:r w:rsidRPr="009D6FFB">
              <w:rPr>
                <w:rFonts w:asciiTheme="minorHAnsi" w:hAnsiTheme="minorHAnsi"/>
                <w:b/>
                <w:bCs/>
                <w:sz w:val="22"/>
                <w:szCs w:val="22"/>
              </w:rPr>
              <w:t xml:space="preserve">Scheduling and Ahead Mechanisms – Market Design Initiative D </w:t>
            </w:r>
          </w:p>
        </w:tc>
      </w:tr>
      <w:tr w:rsidR="00B35EA1" w14:paraId="6E29D360" w14:textId="77777777" w:rsidTr="001F488F">
        <w:trPr>
          <w:trHeight w:val="360"/>
        </w:trPr>
        <w:tc>
          <w:tcPr>
            <w:tcW w:w="1276" w:type="dxa"/>
          </w:tcPr>
          <w:p w14:paraId="55127711" w14:textId="77777777" w:rsidR="00B35EA1" w:rsidRPr="009D6FFB" w:rsidRDefault="00B35EA1">
            <w:pPr>
              <w:pStyle w:val="Default"/>
              <w:rPr>
                <w:rFonts w:asciiTheme="minorHAnsi" w:hAnsiTheme="minorHAnsi"/>
                <w:sz w:val="22"/>
                <w:szCs w:val="22"/>
              </w:rPr>
            </w:pPr>
            <w:r w:rsidRPr="009D6FFB">
              <w:rPr>
                <w:rFonts w:asciiTheme="minorHAnsi" w:hAnsiTheme="minorHAnsi"/>
                <w:sz w:val="22"/>
                <w:szCs w:val="22"/>
              </w:rPr>
              <w:t xml:space="preserve">1 </w:t>
            </w:r>
          </w:p>
        </w:tc>
        <w:tc>
          <w:tcPr>
            <w:tcW w:w="6946" w:type="dxa"/>
          </w:tcPr>
          <w:p w14:paraId="7D1C8DEE" w14:textId="77777777" w:rsidR="00B35EA1" w:rsidRDefault="00B35EA1">
            <w:pPr>
              <w:pStyle w:val="Default"/>
              <w:rPr>
                <w:rFonts w:asciiTheme="minorHAnsi" w:hAnsiTheme="minorHAnsi"/>
                <w:sz w:val="22"/>
                <w:szCs w:val="22"/>
              </w:rPr>
            </w:pPr>
            <w:r w:rsidRPr="009D6FFB">
              <w:rPr>
                <w:rFonts w:asciiTheme="minorHAnsi" w:hAnsiTheme="minorHAnsi"/>
                <w:sz w:val="22"/>
                <w:szCs w:val="22"/>
              </w:rPr>
              <w:t xml:space="preserve">The ESB is interested in stakeholder feedback on the options for the ahead mechanisms we have outlined. Are there additional options? Are the options for a UCS and UCS + ahead markets fit for purpose? </w:t>
            </w:r>
          </w:p>
          <w:p w14:paraId="37ECDE92" w14:textId="77777777" w:rsidR="003E7B86" w:rsidRDefault="003E7B86">
            <w:pPr>
              <w:pStyle w:val="Default"/>
              <w:rPr>
                <w:rFonts w:asciiTheme="minorHAnsi" w:hAnsiTheme="minorHAnsi"/>
                <w:sz w:val="22"/>
                <w:szCs w:val="22"/>
              </w:rPr>
            </w:pPr>
          </w:p>
          <w:p w14:paraId="1D9F911C" w14:textId="77777777" w:rsidR="003E7B86" w:rsidRPr="000C715E" w:rsidRDefault="003E7B86">
            <w:pPr>
              <w:pStyle w:val="Default"/>
              <w:rPr>
                <w:rFonts w:asciiTheme="minorHAnsi" w:hAnsiTheme="minorHAnsi"/>
                <w:color w:val="7030A0"/>
                <w:sz w:val="22"/>
                <w:szCs w:val="22"/>
              </w:rPr>
            </w:pPr>
            <w:r w:rsidRPr="000C715E">
              <w:rPr>
                <w:rFonts w:asciiTheme="minorHAnsi" w:hAnsiTheme="minorHAnsi"/>
                <w:color w:val="7030A0"/>
                <w:sz w:val="22"/>
                <w:szCs w:val="22"/>
              </w:rPr>
              <w:t>The UCS</w:t>
            </w:r>
            <w:r w:rsidR="00A02EF9" w:rsidRPr="000C715E">
              <w:rPr>
                <w:rFonts w:asciiTheme="minorHAnsi" w:hAnsiTheme="minorHAnsi"/>
                <w:color w:val="7030A0"/>
                <w:sz w:val="22"/>
                <w:szCs w:val="22"/>
              </w:rPr>
              <w:t xml:space="preserve"> would seem to be essential, and we suggest it should be developed.  Beyond this, we do not offer specific comments on this item.</w:t>
            </w:r>
          </w:p>
          <w:p w14:paraId="406E9A7F" w14:textId="3CD6F5C6" w:rsidR="000C715E" w:rsidRPr="009D6FFB" w:rsidRDefault="000C715E">
            <w:pPr>
              <w:pStyle w:val="Default"/>
              <w:rPr>
                <w:rFonts w:asciiTheme="minorHAnsi" w:hAnsiTheme="minorHAnsi"/>
                <w:sz w:val="22"/>
                <w:szCs w:val="22"/>
              </w:rPr>
            </w:pPr>
          </w:p>
        </w:tc>
      </w:tr>
      <w:tr w:rsidR="00B35EA1" w14:paraId="7F4AED99" w14:textId="77777777" w:rsidTr="001F488F">
        <w:trPr>
          <w:trHeight w:val="358"/>
        </w:trPr>
        <w:tc>
          <w:tcPr>
            <w:tcW w:w="1276" w:type="dxa"/>
          </w:tcPr>
          <w:p w14:paraId="559EF087" w14:textId="77777777" w:rsidR="00B35EA1" w:rsidRPr="009D6FFB" w:rsidRDefault="00B35EA1">
            <w:pPr>
              <w:pStyle w:val="Default"/>
              <w:rPr>
                <w:rFonts w:asciiTheme="minorHAnsi" w:hAnsiTheme="minorHAnsi"/>
                <w:sz w:val="22"/>
                <w:szCs w:val="22"/>
              </w:rPr>
            </w:pPr>
            <w:r w:rsidRPr="009D6FFB">
              <w:rPr>
                <w:rFonts w:asciiTheme="minorHAnsi" w:hAnsiTheme="minorHAnsi"/>
                <w:sz w:val="22"/>
                <w:szCs w:val="22"/>
              </w:rPr>
              <w:t xml:space="preserve">2 </w:t>
            </w:r>
          </w:p>
        </w:tc>
        <w:tc>
          <w:tcPr>
            <w:tcW w:w="6946" w:type="dxa"/>
          </w:tcPr>
          <w:p w14:paraId="5F94697C" w14:textId="77777777" w:rsidR="00B35EA1" w:rsidRDefault="00B35EA1">
            <w:pPr>
              <w:pStyle w:val="Default"/>
              <w:rPr>
                <w:rFonts w:asciiTheme="minorHAnsi" w:hAnsiTheme="minorHAnsi"/>
                <w:sz w:val="22"/>
                <w:szCs w:val="22"/>
              </w:rPr>
            </w:pPr>
            <w:r w:rsidRPr="009D6FFB">
              <w:rPr>
                <w:rFonts w:asciiTheme="minorHAnsi" w:hAnsiTheme="minorHAnsi"/>
                <w:sz w:val="22"/>
                <w:szCs w:val="22"/>
              </w:rPr>
              <w:t xml:space="preserve">The ESB proposes to develop the UCS tool for implementation. Do you support the UCS concept? What factors and design features should be considered for detailed development? </w:t>
            </w:r>
          </w:p>
          <w:p w14:paraId="15522D9F" w14:textId="77777777" w:rsidR="003E7B86" w:rsidRDefault="003E7B86">
            <w:pPr>
              <w:pStyle w:val="Default"/>
              <w:rPr>
                <w:rFonts w:asciiTheme="minorHAnsi" w:hAnsiTheme="minorHAnsi"/>
                <w:sz w:val="22"/>
                <w:szCs w:val="22"/>
              </w:rPr>
            </w:pPr>
          </w:p>
          <w:p w14:paraId="75D1CC03" w14:textId="77777777" w:rsidR="000C715E" w:rsidRPr="000C715E" w:rsidRDefault="00A02EF9" w:rsidP="000C715E">
            <w:pPr>
              <w:pStyle w:val="Default"/>
              <w:rPr>
                <w:rFonts w:asciiTheme="minorHAnsi" w:hAnsiTheme="minorHAnsi"/>
                <w:color w:val="7030A0"/>
                <w:sz w:val="22"/>
                <w:szCs w:val="22"/>
              </w:rPr>
            </w:pPr>
            <w:r w:rsidRPr="000C715E">
              <w:rPr>
                <w:rFonts w:asciiTheme="minorHAnsi" w:hAnsiTheme="minorHAnsi"/>
                <w:color w:val="7030A0"/>
                <w:sz w:val="22"/>
                <w:szCs w:val="22"/>
              </w:rPr>
              <w:t>We support the UCS concept</w:t>
            </w:r>
            <w:r w:rsidR="000C715E" w:rsidRPr="000C715E">
              <w:rPr>
                <w:rFonts w:asciiTheme="minorHAnsi" w:hAnsiTheme="minorHAnsi"/>
                <w:color w:val="7030A0"/>
                <w:sz w:val="22"/>
                <w:szCs w:val="22"/>
              </w:rPr>
              <w:t xml:space="preserve">. We have not considered design features. </w:t>
            </w:r>
          </w:p>
          <w:p w14:paraId="4D7E3F30" w14:textId="0F20BBD0" w:rsidR="000C715E" w:rsidRPr="009D6FFB" w:rsidRDefault="000C715E" w:rsidP="000C715E">
            <w:pPr>
              <w:pStyle w:val="Default"/>
              <w:rPr>
                <w:rFonts w:asciiTheme="minorHAnsi" w:hAnsiTheme="minorHAnsi"/>
                <w:sz w:val="22"/>
                <w:szCs w:val="22"/>
              </w:rPr>
            </w:pPr>
          </w:p>
        </w:tc>
      </w:tr>
      <w:tr w:rsidR="00B35EA1" w14:paraId="77A4691B" w14:textId="77777777" w:rsidTr="001F488F">
        <w:trPr>
          <w:trHeight w:val="486"/>
        </w:trPr>
        <w:tc>
          <w:tcPr>
            <w:tcW w:w="1276" w:type="dxa"/>
          </w:tcPr>
          <w:p w14:paraId="788A0CA0" w14:textId="77777777" w:rsidR="00B35EA1" w:rsidRPr="009D6FFB" w:rsidRDefault="00B35EA1">
            <w:pPr>
              <w:pStyle w:val="Default"/>
              <w:rPr>
                <w:rFonts w:asciiTheme="minorHAnsi" w:hAnsiTheme="minorHAnsi"/>
                <w:sz w:val="22"/>
                <w:szCs w:val="22"/>
              </w:rPr>
            </w:pPr>
            <w:r w:rsidRPr="009D6FFB">
              <w:rPr>
                <w:rFonts w:asciiTheme="minorHAnsi" w:hAnsiTheme="minorHAnsi"/>
                <w:sz w:val="22"/>
                <w:szCs w:val="22"/>
              </w:rPr>
              <w:lastRenderedPageBreak/>
              <w:t xml:space="preserve">3 </w:t>
            </w:r>
          </w:p>
        </w:tc>
        <w:tc>
          <w:tcPr>
            <w:tcW w:w="6946" w:type="dxa"/>
          </w:tcPr>
          <w:p w14:paraId="76562CD8" w14:textId="77777777" w:rsidR="00B35EA1" w:rsidRDefault="00B35EA1">
            <w:pPr>
              <w:pStyle w:val="Default"/>
              <w:rPr>
                <w:rFonts w:asciiTheme="minorHAnsi" w:hAnsiTheme="minorHAnsi"/>
                <w:sz w:val="22"/>
                <w:szCs w:val="22"/>
              </w:rPr>
            </w:pPr>
            <w:r w:rsidRPr="009D6FFB">
              <w:rPr>
                <w:rFonts w:asciiTheme="minorHAnsi" w:hAnsiTheme="minorHAnsi"/>
                <w:sz w:val="22"/>
                <w:szCs w:val="22"/>
              </w:rPr>
              <w:t xml:space="preserve">The difference between actual and forecast residual demand leading up to real time dispatch has been far more stable in the last decade than the difference between actual and forecast prices ($MWh) leading up to real time dispatch. What do you consider the drivers of this may be? </w:t>
            </w:r>
          </w:p>
          <w:p w14:paraId="5A6C6352" w14:textId="77777777" w:rsidR="003E7B86" w:rsidRDefault="003E7B86">
            <w:pPr>
              <w:pStyle w:val="Default"/>
              <w:rPr>
                <w:rFonts w:asciiTheme="minorHAnsi" w:hAnsiTheme="minorHAnsi"/>
                <w:sz w:val="22"/>
                <w:szCs w:val="22"/>
              </w:rPr>
            </w:pPr>
          </w:p>
          <w:p w14:paraId="06B589C2" w14:textId="0042AE05" w:rsidR="00A02EF9" w:rsidRDefault="008C1863">
            <w:pPr>
              <w:pStyle w:val="Default"/>
              <w:rPr>
                <w:rFonts w:asciiTheme="minorHAnsi" w:hAnsiTheme="minorHAnsi"/>
                <w:color w:val="7030A0"/>
                <w:sz w:val="22"/>
                <w:szCs w:val="22"/>
              </w:rPr>
            </w:pPr>
            <w:r w:rsidRPr="000C715E">
              <w:rPr>
                <w:rFonts w:asciiTheme="minorHAnsi" w:hAnsiTheme="minorHAnsi"/>
                <w:color w:val="7030A0"/>
                <w:sz w:val="22"/>
                <w:szCs w:val="22"/>
              </w:rPr>
              <w:t xml:space="preserve">IEEFA has not analysed this feature but </w:t>
            </w:r>
            <w:r w:rsidR="00D50727" w:rsidRPr="000C715E">
              <w:rPr>
                <w:rFonts w:asciiTheme="minorHAnsi" w:hAnsiTheme="minorHAnsi"/>
                <w:color w:val="7030A0"/>
                <w:sz w:val="22"/>
                <w:szCs w:val="22"/>
              </w:rPr>
              <w:t xml:space="preserve">we </w:t>
            </w:r>
            <w:r w:rsidRPr="000C715E">
              <w:rPr>
                <w:rFonts w:asciiTheme="minorHAnsi" w:hAnsiTheme="minorHAnsi"/>
                <w:color w:val="7030A0"/>
                <w:sz w:val="22"/>
                <w:szCs w:val="22"/>
              </w:rPr>
              <w:t xml:space="preserve">suspect the influx of utility-scale VRE and evolving bidding strategies may contribute. </w:t>
            </w:r>
          </w:p>
          <w:p w14:paraId="191AB236" w14:textId="77777777" w:rsidR="00504148" w:rsidRPr="000C715E" w:rsidRDefault="00504148">
            <w:pPr>
              <w:pStyle w:val="Default"/>
              <w:rPr>
                <w:rFonts w:asciiTheme="minorHAnsi" w:hAnsiTheme="minorHAnsi"/>
                <w:color w:val="7030A0"/>
                <w:sz w:val="22"/>
                <w:szCs w:val="22"/>
              </w:rPr>
            </w:pPr>
          </w:p>
          <w:p w14:paraId="631354AD" w14:textId="0C8C8ACD" w:rsidR="000C715E" w:rsidRPr="009D6FFB" w:rsidRDefault="000C715E">
            <w:pPr>
              <w:pStyle w:val="Default"/>
              <w:rPr>
                <w:rFonts w:asciiTheme="minorHAnsi" w:hAnsiTheme="minorHAnsi"/>
                <w:sz w:val="22"/>
                <w:szCs w:val="22"/>
              </w:rPr>
            </w:pPr>
          </w:p>
        </w:tc>
      </w:tr>
      <w:tr w:rsidR="00B35EA1" w14:paraId="10D36370" w14:textId="77777777" w:rsidTr="001F488F">
        <w:trPr>
          <w:trHeight w:val="103"/>
        </w:trPr>
        <w:tc>
          <w:tcPr>
            <w:tcW w:w="1276" w:type="dxa"/>
          </w:tcPr>
          <w:p w14:paraId="79611F1A" w14:textId="77777777" w:rsidR="00B35EA1" w:rsidRPr="009D6FFB" w:rsidRDefault="00B35EA1">
            <w:pPr>
              <w:pStyle w:val="Default"/>
              <w:rPr>
                <w:rFonts w:asciiTheme="minorHAnsi" w:hAnsiTheme="minorHAnsi"/>
                <w:sz w:val="22"/>
                <w:szCs w:val="22"/>
              </w:rPr>
            </w:pPr>
            <w:r w:rsidRPr="009D6FFB">
              <w:rPr>
                <w:rFonts w:asciiTheme="minorHAnsi" w:hAnsiTheme="minorHAnsi"/>
                <w:b/>
                <w:bCs/>
                <w:sz w:val="22"/>
                <w:szCs w:val="22"/>
              </w:rPr>
              <w:t xml:space="preserve">Section 8 </w:t>
            </w:r>
          </w:p>
        </w:tc>
        <w:tc>
          <w:tcPr>
            <w:tcW w:w="6946" w:type="dxa"/>
          </w:tcPr>
          <w:p w14:paraId="1DF310AC" w14:textId="77777777" w:rsidR="00B35EA1" w:rsidRPr="009D6FFB" w:rsidRDefault="00B35EA1">
            <w:pPr>
              <w:pStyle w:val="Default"/>
              <w:rPr>
                <w:rFonts w:asciiTheme="minorHAnsi" w:hAnsiTheme="minorHAnsi"/>
                <w:sz w:val="22"/>
                <w:szCs w:val="22"/>
              </w:rPr>
            </w:pPr>
            <w:r w:rsidRPr="009D6FFB">
              <w:rPr>
                <w:rFonts w:asciiTheme="minorHAnsi" w:hAnsiTheme="minorHAnsi"/>
                <w:b/>
                <w:bCs/>
                <w:sz w:val="22"/>
                <w:szCs w:val="22"/>
              </w:rPr>
              <w:t xml:space="preserve">Two-Sided Markets – Market Design Initiative E </w:t>
            </w:r>
          </w:p>
        </w:tc>
      </w:tr>
      <w:tr w:rsidR="00B35EA1" w14:paraId="1B326259" w14:textId="77777777" w:rsidTr="001F488F">
        <w:trPr>
          <w:trHeight w:val="360"/>
        </w:trPr>
        <w:tc>
          <w:tcPr>
            <w:tcW w:w="1276" w:type="dxa"/>
          </w:tcPr>
          <w:p w14:paraId="189A8812" w14:textId="77777777" w:rsidR="00B35EA1" w:rsidRPr="009D6FFB" w:rsidRDefault="00B35EA1">
            <w:pPr>
              <w:pStyle w:val="Default"/>
              <w:rPr>
                <w:rFonts w:asciiTheme="minorHAnsi" w:hAnsiTheme="minorHAnsi"/>
                <w:sz w:val="22"/>
                <w:szCs w:val="22"/>
              </w:rPr>
            </w:pPr>
            <w:r w:rsidRPr="009D6FFB">
              <w:rPr>
                <w:rFonts w:asciiTheme="minorHAnsi" w:hAnsiTheme="minorHAnsi"/>
                <w:sz w:val="22"/>
                <w:szCs w:val="22"/>
              </w:rPr>
              <w:t xml:space="preserve">1 </w:t>
            </w:r>
          </w:p>
        </w:tc>
        <w:tc>
          <w:tcPr>
            <w:tcW w:w="6946" w:type="dxa"/>
          </w:tcPr>
          <w:p w14:paraId="67B04F0D" w14:textId="77777777" w:rsidR="00B35EA1" w:rsidRDefault="00B35EA1">
            <w:pPr>
              <w:pStyle w:val="Default"/>
              <w:rPr>
                <w:rFonts w:asciiTheme="minorHAnsi" w:hAnsiTheme="minorHAnsi"/>
                <w:sz w:val="22"/>
                <w:szCs w:val="22"/>
              </w:rPr>
            </w:pPr>
            <w:r w:rsidRPr="009D6FFB">
              <w:rPr>
                <w:rFonts w:asciiTheme="minorHAnsi" w:hAnsiTheme="minorHAnsi"/>
                <w:sz w:val="22"/>
                <w:szCs w:val="22"/>
              </w:rPr>
              <w:t xml:space="preserve">What do you consider are the risks and opportunities of moving to a market with a significantly more active demand side over time? How can these risks be best managed? </w:t>
            </w:r>
          </w:p>
          <w:p w14:paraId="2AC7383B" w14:textId="77777777" w:rsidR="003E7B86" w:rsidRDefault="003E7B86">
            <w:pPr>
              <w:pStyle w:val="Default"/>
              <w:rPr>
                <w:rFonts w:asciiTheme="minorHAnsi" w:hAnsiTheme="minorHAnsi"/>
                <w:sz w:val="22"/>
                <w:szCs w:val="22"/>
              </w:rPr>
            </w:pPr>
          </w:p>
          <w:p w14:paraId="7366C174" w14:textId="77777777" w:rsidR="00AC0432" w:rsidRDefault="00AC0432" w:rsidP="00AC0432">
            <w:pPr>
              <w:pStyle w:val="Default"/>
              <w:rPr>
                <w:rFonts w:asciiTheme="minorHAnsi" w:hAnsiTheme="minorHAnsi"/>
                <w:color w:val="7030A0"/>
                <w:sz w:val="22"/>
                <w:szCs w:val="22"/>
              </w:rPr>
            </w:pPr>
            <w:r w:rsidRPr="000C715E">
              <w:rPr>
                <w:rFonts w:asciiTheme="minorHAnsi" w:hAnsiTheme="minorHAnsi"/>
                <w:color w:val="7030A0"/>
                <w:sz w:val="22"/>
                <w:szCs w:val="22"/>
              </w:rPr>
              <w:t>It is expected that the market will involve significant demand side activity in the future.</w:t>
            </w:r>
            <w:r>
              <w:rPr>
                <w:rFonts w:asciiTheme="minorHAnsi" w:hAnsiTheme="minorHAnsi"/>
                <w:color w:val="7030A0"/>
                <w:sz w:val="22"/>
                <w:szCs w:val="22"/>
              </w:rPr>
              <w:t xml:space="preserve"> </w:t>
            </w:r>
          </w:p>
          <w:p w14:paraId="481879F3" w14:textId="77777777" w:rsidR="00AC0432" w:rsidRDefault="00AC0432" w:rsidP="00AC0432">
            <w:pPr>
              <w:pStyle w:val="Default"/>
              <w:rPr>
                <w:rFonts w:asciiTheme="minorHAnsi" w:hAnsiTheme="minorHAnsi"/>
                <w:color w:val="7030A0"/>
                <w:sz w:val="22"/>
                <w:szCs w:val="22"/>
                <w:lang w:val="en-AU"/>
              </w:rPr>
            </w:pPr>
          </w:p>
          <w:p w14:paraId="6E0B2E06" w14:textId="77777777" w:rsidR="00AC0432" w:rsidRDefault="00AC0432" w:rsidP="00AC0432">
            <w:pPr>
              <w:pStyle w:val="Default"/>
              <w:rPr>
                <w:rFonts w:asciiTheme="minorHAnsi" w:hAnsiTheme="minorHAnsi"/>
                <w:color w:val="7030A0"/>
                <w:sz w:val="22"/>
                <w:szCs w:val="22"/>
              </w:rPr>
            </w:pPr>
            <w:r w:rsidRPr="000C715E">
              <w:rPr>
                <w:rFonts w:asciiTheme="minorHAnsi" w:hAnsiTheme="minorHAnsi"/>
                <w:color w:val="7030A0"/>
                <w:sz w:val="22"/>
                <w:szCs w:val="22"/>
              </w:rPr>
              <w:t xml:space="preserve">The main risks are well known and have been identified in the consultation paper.  </w:t>
            </w:r>
          </w:p>
          <w:p w14:paraId="3DF198B6" w14:textId="77777777" w:rsidR="00AC0432" w:rsidRDefault="00AC0432" w:rsidP="00AC0432">
            <w:pPr>
              <w:pStyle w:val="Default"/>
              <w:rPr>
                <w:rFonts w:asciiTheme="minorHAnsi" w:hAnsiTheme="minorHAnsi"/>
                <w:color w:val="7030A0"/>
                <w:sz w:val="22"/>
                <w:szCs w:val="22"/>
              </w:rPr>
            </w:pPr>
          </w:p>
          <w:p w14:paraId="787C53C2" w14:textId="77777777" w:rsidR="00AC0432" w:rsidRPr="00907390" w:rsidRDefault="00AC0432" w:rsidP="00AC0432">
            <w:pPr>
              <w:pStyle w:val="Default"/>
              <w:rPr>
                <w:rFonts w:asciiTheme="minorHAnsi" w:hAnsiTheme="minorHAnsi"/>
                <w:color w:val="7030A0"/>
                <w:sz w:val="22"/>
                <w:szCs w:val="22"/>
              </w:rPr>
            </w:pPr>
            <w:r>
              <w:rPr>
                <w:rFonts w:asciiTheme="minorHAnsi" w:hAnsiTheme="minorHAnsi"/>
                <w:color w:val="7030A0"/>
                <w:sz w:val="22"/>
                <w:szCs w:val="22"/>
              </w:rPr>
              <w:t xml:space="preserve">In the case of large energy users, </w:t>
            </w:r>
            <w:r w:rsidRPr="00907390">
              <w:rPr>
                <w:rFonts w:asciiTheme="minorHAnsi" w:hAnsiTheme="minorHAnsi"/>
                <w:color w:val="7030A0"/>
                <w:sz w:val="22"/>
                <w:szCs w:val="22"/>
              </w:rPr>
              <w:t>such as aluminium smelters</w:t>
            </w:r>
            <w:r>
              <w:rPr>
                <w:rFonts w:asciiTheme="minorHAnsi" w:hAnsiTheme="minorHAnsi"/>
                <w:color w:val="7030A0"/>
                <w:sz w:val="22"/>
                <w:szCs w:val="22"/>
              </w:rPr>
              <w:t>,</w:t>
            </w:r>
            <w:r w:rsidRPr="00907390">
              <w:rPr>
                <w:rFonts w:asciiTheme="minorHAnsi" w:hAnsiTheme="minorHAnsi"/>
                <w:color w:val="7030A0"/>
                <w:sz w:val="22"/>
                <w:szCs w:val="22"/>
              </w:rPr>
              <w:t xml:space="preserve"> demand load </w:t>
            </w:r>
            <w:r>
              <w:rPr>
                <w:rFonts w:asciiTheme="minorHAnsi" w:hAnsiTheme="minorHAnsi"/>
                <w:color w:val="7030A0"/>
                <w:sz w:val="22"/>
                <w:szCs w:val="22"/>
              </w:rPr>
              <w:t xml:space="preserve">can be modulated </w:t>
            </w:r>
            <w:r w:rsidRPr="00907390">
              <w:rPr>
                <w:rFonts w:asciiTheme="minorHAnsi" w:hAnsiTheme="minorHAnsi"/>
                <w:color w:val="7030A0"/>
                <w:sz w:val="22"/>
                <w:szCs w:val="22"/>
              </w:rPr>
              <w:t xml:space="preserve">to provide substantial </w:t>
            </w:r>
            <w:r>
              <w:rPr>
                <w:rFonts w:asciiTheme="minorHAnsi" w:hAnsiTheme="minorHAnsi"/>
                <w:color w:val="7030A0"/>
                <w:sz w:val="22"/>
                <w:szCs w:val="22"/>
              </w:rPr>
              <w:t>DR</w:t>
            </w:r>
            <w:r w:rsidRPr="00907390">
              <w:rPr>
                <w:rFonts w:asciiTheme="minorHAnsi" w:hAnsiTheme="minorHAnsi"/>
                <w:color w:val="7030A0"/>
                <w:sz w:val="22"/>
                <w:szCs w:val="22"/>
              </w:rPr>
              <w:t>.  This could be either small amounts regularly and on short notice or large amounts.</w:t>
            </w:r>
            <w:r>
              <w:rPr>
                <w:rFonts w:asciiTheme="minorHAnsi" w:hAnsiTheme="minorHAnsi"/>
                <w:color w:val="7030A0"/>
                <w:sz w:val="22"/>
                <w:szCs w:val="22"/>
              </w:rPr>
              <w:t xml:space="preserve"> </w:t>
            </w:r>
            <w:r w:rsidRPr="00907390">
              <w:rPr>
                <w:rFonts w:asciiTheme="minorHAnsi" w:hAnsiTheme="minorHAnsi"/>
                <w:color w:val="7030A0"/>
                <w:sz w:val="22"/>
                <w:szCs w:val="22"/>
              </w:rPr>
              <w:t>Such modulation requires technology investment.  If the demand response pricing is sufficient, this investment will make financial sense for smelter operators and can be managed in such a way that enhances their overall business performance.</w:t>
            </w:r>
          </w:p>
          <w:p w14:paraId="54A62AEB" w14:textId="77777777" w:rsidR="00AC0432" w:rsidRDefault="00AC0432" w:rsidP="00AC0432">
            <w:pPr>
              <w:pStyle w:val="Default"/>
              <w:rPr>
                <w:rFonts w:asciiTheme="minorHAnsi" w:hAnsiTheme="minorHAnsi"/>
                <w:color w:val="7030A0"/>
                <w:sz w:val="22"/>
                <w:szCs w:val="22"/>
              </w:rPr>
            </w:pPr>
          </w:p>
          <w:p w14:paraId="05C95384" w14:textId="77777777" w:rsidR="00AC0432" w:rsidRDefault="00AC0432" w:rsidP="00AC0432">
            <w:pPr>
              <w:pStyle w:val="Default"/>
              <w:rPr>
                <w:rFonts w:asciiTheme="minorHAnsi" w:hAnsiTheme="minorHAnsi"/>
                <w:color w:val="7030A0"/>
                <w:sz w:val="22"/>
                <w:szCs w:val="22"/>
              </w:rPr>
            </w:pPr>
            <w:r w:rsidRPr="00907390">
              <w:rPr>
                <w:rFonts w:asciiTheme="minorHAnsi" w:hAnsiTheme="minorHAnsi"/>
                <w:color w:val="7030A0"/>
                <w:sz w:val="22"/>
                <w:szCs w:val="22"/>
              </w:rPr>
              <w:t>The grid stability that large scale DR can provide is immensely valuable to the NEM and far cheaper to implement than other forms of large scale grid stabilisation – such as pumped hydro storage.  Accordingly, the pricing for this service must be set with that benefit in mind.  This will create an attractive revenue stream and a strong financial incentive for large energy users to both invest in technology and make their operations more flexible.</w:t>
            </w:r>
          </w:p>
          <w:p w14:paraId="17958FC6" w14:textId="77777777" w:rsidR="00AC0432" w:rsidRDefault="00AC0432" w:rsidP="00AC0432">
            <w:pPr>
              <w:pStyle w:val="Default"/>
              <w:rPr>
                <w:rFonts w:asciiTheme="minorHAnsi" w:hAnsiTheme="minorHAnsi"/>
                <w:color w:val="7030A0"/>
                <w:sz w:val="22"/>
                <w:szCs w:val="22"/>
              </w:rPr>
            </w:pPr>
          </w:p>
          <w:p w14:paraId="5FB967D5" w14:textId="77777777" w:rsidR="00AC0432" w:rsidRPr="000C715E" w:rsidRDefault="00AC0432" w:rsidP="00AC0432">
            <w:pPr>
              <w:pStyle w:val="Default"/>
              <w:rPr>
                <w:rFonts w:asciiTheme="minorHAnsi" w:hAnsiTheme="minorHAnsi"/>
                <w:color w:val="7030A0"/>
                <w:sz w:val="22"/>
                <w:szCs w:val="22"/>
              </w:rPr>
            </w:pPr>
            <w:r>
              <w:rPr>
                <w:rFonts w:asciiTheme="minorHAnsi" w:hAnsiTheme="minorHAnsi"/>
                <w:color w:val="7030A0"/>
                <w:sz w:val="22"/>
                <w:szCs w:val="22"/>
              </w:rPr>
              <w:t>I</w:t>
            </w:r>
            <w:r w:rsidRPr="000C715E">
              <w:rPr>
                <w:rFonts w:asciiTheme="minorHAnsi" w:hAnsiTheme="minorHAnsi"/>
                <w:color w:val="7030A0"/>
                <w:sz w:val="22"/>
                <w:szCs w:val="22"/>
              </w:rPr>
              <w:t>t is important to avoid disadvantaging certain consumers, based on their ability or willingness to participate in the market.  Nevertheless, those who choose to engage should be able to derive value from their participation.  Risks that arise from communications, cyber security, and technology can be mitigated through establishing of standards and protocols. Opening up the demand side will contribute to grid stability, resource adequacy, and avoidance of over-building transmission and generation.</w:t>
            </w:r>
          </w:p>
          <w:p w14:paraId="7B62DFD8" w14:textId="51C09D31" w:rsidR="003E7B86" w:rsidRPr="009D6FFB" w:rsidRDefault="003E7B86">
            <w:pPr>
              <w:pStyle w:val="Default"/>
              <w:rPr>
                <w:rFonts w:asciiTheme="minorHAnsi" w:hAnsiTheme="minorHAnsi"/>
                <w:sz w:val="22"/>
                <w:szCs w:val="22"/>
              </w:rPr>
            </w:pPr>
          </w:p>
        </w:tc>
      </w:tr>
      <w:tr w:rsidR="00B35EA1" w14:paraId="68EA55EF" w14:textId="77777777" w:rsidTr="001F488F">
        <w:trPr>
          <w:trHeight w:val="360"/>
        </w:trPr>
        <w:tc>
          <w:tcPr>
            <w:tcW w:w="1276" w:type="dxa"/>
          </w:tcPr>
          <w:p w14:paraId="76F3B3FD" w14:textId="77777777" w:rsidR="00B35EA1" w:rsidRPr="009D6FFB" w:rsidRDefault="00B35EA1">
            <w:pPr>
              <w:pStyle w:val="Default"/>
              <w:rPr>
                <w:rFonts w:asciiTheme="minorHAnsi" w:hAnsiTheme="minorHAnsi"/>
                <w:sz w:val="22"/>
                <w:szCs w:val="22"/>
              </w:rPr>
            </w:pPr>
            <w:r w:rsidRPr="009D6FFB">
              <w:rPr>
                <w:rFonts w:asciiTheme="minorHAnsi" w:hAnsiTheme="minorHAnsi"/>
                <w:sz w:val="22"/>
                <w:szCs w:val="22"/>
              </w:rPr>
              <w:t xml:space="preserve">2 </w:t>
            </w:r>
          </w:p>
        </w:tc>
        <w:tc>
          <w:tcPr>
            <w:tcW w:w="6946" w:type="dxa"/>
          </w:tcPr>
          <w:p w14:paraId="1A1635BB" w14:textId="382586A4" w:rsidR="00B35EA1" w:rsidRDefault="00B35EA1">
            <w:pPr>
              <w:pStyle w:val="Default"/>
              <w:rPr>
                <w:rFonts w:asciiTheme="minorHAnsi" w:hAnsiTheme="minorHAnsi"/>
                <w:sz w:val="22"/>
                <w:szCs w:val="22"/>
              </w:rPr>
            </w:pPr>
            <w:r w:rsidRPr="009D6FFB">
              <w:rPr>
                <w:rFonts w:asciiTheme="minorHAnsi" w:hAnsiTheme="minorHAnsi"/>
                <w:sz w:val="22"/>
                <w:szCs w:val="22"/>
              </w:rPr>
              <w:t xml:space="preserve">What are the barriers preventing more active demand response and participation in a two-sided market? What are the barriers to participating in the wholesale central dispatch processes? </w:t>
            </w:r>
          </w:p>
          <w:p w14:paraId="12AB1ABF" w14:textId="492DCAB5" w:rsidR="003E7B86" w:rsidRDefault="003E7B86">
            <w:pPr>
              <w:pStyle w:val="Default"/>
              <w:rPr>
                <w:rFonts w:asciiTheme="minorHAnsi" w:hAnsiTheme="minorHAnsi"/>
                <w:sz w:val="22"/>
                <w:szCs w:val="22"/>
              </w:rPr>
            </w:pPr>
          </w:p>
          <w:p w14:paraId="491A2086" w14:textId="77777777" w:rsidR="00AC0432" w:rsidRDefault="00AC0432" w:rsidP="00AC0432">
            <w:pPr>
              <w:pStyle w:val="Default"/>
              <w:rPr>
                <w:rFonts w:asciiTheme="minorHAnsi" w:hAnsiTheme="minorHAnsi"/>
                <w:color w:val="7030A0"/>
                <w:sz w:val="22"/>
                <w:szCs w:val="22"/>
              </w:rPr>
            </w:pPr>
            <w:r>
              <w:rPr>
                <w:rFonts w:asciiTheme="minorHAnsi" w:hAnsiTheme="minorHAnsi"/>
                <w:color w:val="7030A0"/>
                <w:sz w:val="22"/>
                <w:szCs w:val="22"/>
              </w:rPr>
              <w:t>A</w:t>
            </w:r>
            <w:r w:rsidRPr="00907390">
              <w:rPr>
                <w:rFonts w:asciiTheme="minorHAnsi" w:hAnsiTheme="minorHAnsi"/>
                <w:color w:val="7030A0"/>
                <w:sz w:val="22"/>
                <w:szCs w:val="22"/>
              </w:rPr>
              <w:t>ctive participation will require large energy users to invest in technology to manage DR</w:t>
            </w:r>
            <w:r>
              <w:rPr>
                <w:rFonts w:asciiTheme="minorHAnsi" w:hAnsiTheme="minorHAnsi"/>
                <w:color w:val="7030A0"/>
                <w:sz w:val="22"/>
                <w:szCs w:val="22"/>
              </w:rPr>
              <w:t>, to cost and finance may be barriers to entry. A</w:t>
            </w:r>
            <w:r w:rsidRPr="00907390">
              <w:rPr>
                <w:rFonts w:asciiTheme="minorHAnsi" w:hAnsiTheme="minorHAnsi"/>
                <w:color w:val="7030A0"/>
                <w:sz w:val="22"/>
                <w:szCs w:val="22"/>
              </w:rPr>
              <w:t xml:space="preserve"> key requirement for investment is sufficient certainty that pricing </w:t>
            </w:r>
            <w:r w:rsidRPr="00907390">
              <w:rPr>
                <w:rFonts w:asciiTheme="minorHAnsi" w:hAnsiTheme="minorHAnsi"/>
                <w:color w:val="7030A0"/>
                <w:sz w:val="22"/>
                <w:szCs w:val="22"/>
              </w:rPr>
              <w:lastRenderedPageBreak/>
              <w:t>will be available that generates a reasonable return on capital invested.</w:t>
            </w:r>
            <w:r>
              <w:rPr>
                <w:rFonts w:asciiTheme="minorHAnsi" w:hAnsiTheme="minorHAnsi"/>
                <w:color w:val="7030A0"/>
                <w:sz w:val="22"/>
                <w:szCs w:val="22"/>
              </w:rPr>
              <w:t xml:space="preserve"> L</w:t>
            </w:r>
            <w:r w:rsidRPr="00907390">
              <w:rPr>
                <w:rFonts w:asciiTheme="minorHAnsi" w:hAnsiTheme="minorHAnsi"/>
                <w:color w:val="7030A0"/>
                <w:sz w:val="22"/>
                <w:szCs w:val="22"/>
              </w:rPr>
              <w:t>arge energy users typically do not run operations in a way that allows them to flex electricity demand.  This will need to change and will require both financial incentive and a new, more flexible mindset from industry.</w:t>
            </w:r>
          </w:p>
          <w:p w14:paraId="0A5E81B6" w14:textId="77777777" w:rsidR="00AC0432" w:rsidRDefault="00AC0432" w:rsidP="00AC0432">
            <w:pPr>
              <w:pStyle w:val="Default"/>
              <w:rPr>
                <w:rFonts w:asciiTheme="minorHAnsi" w:hAnsiTheme="minorHAnsi"/>
                <w:color w:val="7030A0"/>
                <w:sz w:val="22"/>
                <w:szCs w:val="22"/>
              </w:rPr>
            </w:pPr>
          </w:p>
          <w:p w14:paraId="66A2CC1A" w14:textId="77777777" w:rsidR="00AC0432" w:rsidRPr="000C715E" w:rsidRDefault="00AC0432" w:rsidP="00AC0432">
            <w:pPr>
              <w:pStyle w:val="Default"/>
              <w:rPr>
                <w:rFonts w:asciiTheme="minorHAnsi" w:hAnsiTheme="minorHAnsi"/>
                <w:color w:val="7030A0"/>
                <w:sz w:val="22"/>
                <w:szCs w:val="22"/>
              </w:rPr>
            </w:pPr>
            <w:r w:rsidRPr="000C715E">
              <w:rPr>
                <w:rFonts w:asciiTheme="minorHAnsi" w:hAnsiTheme="minorHAnsi"/>
                <w:color w:val="7030A0"/>
                <w:sz w:val="22"/>
                <w:szCs w:val="22"/>
              </w:rPr>
              <w:t xml:space="preserve">We are not aware of any </w:t>
            </w:r>
            <w:r>
              <w:rPr>
                <w:rFonts w:asciiTheme="minorHAnsi" w:hAnsiTheme="minorHAnsi"/>
                <w:color w:val="7030A0"/>
                <w:sz w:val="22"/>
                <w:szCs w:val="22"/>
              </w:rPr>
              <w:t xml:space="preserve">further </w:t>
            </w:r>
            <w:r w:rsidRPr="000C715E">
              <w:rPr>
                <w:rFonts w:asciiTheme="minorHAnsi" w:hAnsiTheme="minorHAnsi"/>
                <w:color w:val="7030A0"/>
                <w:sz w:val="22"/>
                <w:szCs w:val="22"/>
              </w:rPr>
              <w:t>fundamental barriers. If and when the market and participants (eg. Retailers, NSPs) are ready to accommodate participation, we expect that consumers and third parties, such as aggregators, will take advantage of any opportunities.</w:t>
            </w:r>
          </w:p>
          <w:p w14:paraId="7E4CF1EF" w14:textId="6117F743" w:rsidR="003E7B86" w:rsidRPr="009D6FFB" w:rsidRDefault="003E7B86">
            <w:pPr>
              <w:pStyle w:val="Default"/>
              <w:rPr>
                <w:rFonts w:asciiTheme="minorHAnsi" w:hAnsiTheme="minorHAnsi"/>
                <w:sz w:val="22"/>
                <w:szCs w:val="22"/>
              </w:rPr>
            </w:pPr>
          </w:p>
        </w:tc>
      </w:tr>
      <w:tr w:rsidR="00B35EA1" w14:paraId="5A101DBB" w14:textId="77777777" w:rsidTr="001F488F">
        <w:trPr>
          <w:trHeight w:val="232"/>
        </w:trPr>
        <w:tc>
          <w:tcPr>
            <w:tcW w:w="1276" w:type="dxa"/>
          </w:tcPr>
          <w:p w14:paraId="00EF9243" w14:textId="77777777" w:rsidR="00B35EA1" w:rsidRPr="009D6FFB" w:rsidRDefault="00B35EA1">
            <w:pPr>
              <w:pStyle w:val="Default"/>
              <w:rPr>
                <w:rFonts w:asciiTheme="minorHAnsi" w:hAnsiTheme="minorHAnsi"/>
                <w:sz w:val="22"/>
                <w:szCs w:val="22"/>
              </w:rPr>
            </w:pPr>
            <w:r w:rsidRPr="009D6FFB">
              <w:rPr>
                <w:rFonts w:asciiTheme="minorHAnsi" w:hAnsiTheme="minorHAnsi"/>
                <w:sz w:val="22"/>
                <w:szCs w:val="22"/>
              </w:rPr>
              <w:lastRenderedPageBreak/>
              <w:t xml:space="preserve">3 </w:t>
            </w:r>
          </w:p>
        </w:tc>
        <w:tc>
          <w:tcPr>
            <w:tcW w:w="6946" w:type="dxa"/>
          </w:tcPr>
          <w:p w14:paraId="44D0C5EF" w14:textId="77777777" w:rsidR="008C1863" w:rsidRDefault="00B35EA1">
            <w:pPr>
              <w:pStyle w:val="Default"/>
              <w:rPr>
                <w:rFonts w:asciiTheme="minorHAnsi" w:hAnsiTheme="minorHAnsi"/>
                <w:sz w:val="22"/>
                <w:szCs w:val="22"/>
              </w:rPr>
            </w:pPr>
            <w:r w:rsidRPr="009D6FFB">
              <w:rPr>
                <w:rFonts w:asciiTheme="minorHAnsi" w:hAnsiTheme="minorHAnsi"/>
                <w:sz w:val="22"/>
                <w:szCs w:val="22"/>
              </w:rPr>
              <w:t>Do you think any other near-term arrangements or changes to the market design can be explored in this workstream?</w:t>
            </w:r>
          </w:p>
          <w:p w14:paraId="6D2C1E8A" w14:textId="2AA631C9" w:rsidR="00B35EA1" w:rsidRDefault="00B35EA1">
            <w:pPr>
              <w:pStyle w:val="Default"/>
              <w:rPr>
                <w:rFonts w:asciiTheme="minorHAnsi" w:hAnsiTheme="minorHAnsi"/>
                <w:sz w:val="22"/>
                <w:szCs w:val="22"/>
              </w:rPr>
            </w:pPr>
            <w:r w:rsidRPr="009D6FFB">
              <w:rPr>
                <w:rFonts w:asciiTheme="minorHAnsi" w:hAnsiTheme="minorHAnsi"/>
                <w:sz w:val="22"/>
                <w:szCs w:val="22"/>
              </w:rPr>
              <w:t xml:space="preserve"> </w:t>
            </w:r>
          </w:p>
          <w:p w14:paraId="0DC26820" w14:textId="77777777" w:rsidR="00AC0432" w:rsidRDefault="00AC0432" w:rsidP="00AC0432">
            <w:pPr>
              <w:pStyle w:val="Default"/>
              <w:rPr>
                <w:rFonts w:asciiTheme="minorHAnsi" w:hAnsiTheme="minorHAnsi"/>
                <w:color w:val="7030A0"/>
                <w:sz w:val="22"/>
                <w:szCs w:val="22"/>
              </w:rPr>
            </w:pPr>
            <w:r w:rsidRPr="000C715E">
              <w:rPr>
                <w:rFonts w:asciiTheme="minorHAnsi" w:hAnsiTheme="minorHAnsi"/>
                <w:color w:val="7030A0"/>
                <w:sz w:val="22"/>
                <w:szCs w:val="22"/>
              </w:rPr>
              <w:t>Moving to 5-minute settlement, the DER register, and opening the wholesale demand response market are all concrete steps. IEEFA has already reported on how aluminium smelters operating as demand side participants can function as grid-scale batteries, potentially providing grid-wide benefits</w:t>
            </w:r>
            <w:r w:rsidRPr="000C715E">
              <w:rPr>
                <w:rStyle w:val="FootnoteReference"/>
                <w:rFonts w:asciiTheme="minorHAnsi" w:hAnsiTheme="minorHAnsi"/>
                <w:color w:val="7030A0"/>
                <w:sz w:val="22"/>
                <w:szCs w:val="22"/>
              </w:rPr>
              <w:footnoteReference w:id="4"/>
            </w:r>
            <w:r w:rsidRPr="000C715E">
              <w:rPr>
                <w:rFonts w:asciiTheme="minorHAnsi" w:hAnsiTheme="minorHAnsi"/>
                <w:color w:val="7030A0"/>
                <w:sz w:val="22"/>
                <w:szCs w:val="22"/>
              </w:rPr>
              <w:t xml:space="preserve">.  </w:t>
            </w:r>
            <w:r>
              <w:rPr>
                <w:rFonts w:asciiTheme="minorHAnsi" w:hAnsiTheme="minorHAnsi"/>
                <w:color w:val="7030A0"/>
                <w:sz w:val="22"/>
                <w:szCs w:val="22"/>
              </w:rPr>
              <w:t xml:space="preserve">Pricing signals, and availability of financial instruments to hedge risk, will be important to drive investment. </w:t>
            </w:r>
          </w:p>
          <w:p w14:paraId="76215E8D" w14:textId="77777777" w:rsidR="00AC0432" w:rsidRDefault="00AC0432" w:rsidP="00AC0432">
            <w:pPr>
              <w:pStyle w:val="Default"/>
              <w:rPr>
                <w:rFonts w:asciiTheme="minorHAnsi" w:hAnsiTheme="minorHAnsi"/>
                <w:color w:val="7030A0"/>
                <w:sz w:val="22"/>
                <w:szCs w:val="22"/>
              </w:rPr>
            </w:pPr>
          </w:p>
          <w:p w14:paraId="793539A3" w14:textId="77777777" w:rsidR="00AC0432" w:rsidRPr="000C715E" w:rsidRDefault="00AC0432" w:rsidP="00AC0432">
            <w:pPr>
              <w:pStyle w:val="Default"/>
              <w:rPr>
                <w:rFonts w:asciiTheme="minorHAnsi" w:hAnsiTheme="minorHAnsi"/>
                <w:color w:val="7030A0"/>
                <w:sz w:val="22"/>
                <w:szCs w:val="22"/>
              </w:rPr>
            </w:pPr>
            <w:r w:rsidRPr="000C715E">
              <w:rPr>
                <w:rFonts w:asciiTheme="minorHAnsi" w:hAnsiTheme="minorHAnsi"/>
                <w:color w:val="7030A0"/>
                <w:sz w:val="22"/>
                <w:szCs w:val="22"/>
              </w:rPr>
              <w:t>Opening up co-optimised markets for DR and essential services (beyond FCAS) will allow consumers to participate.  This should be explored in the near term.</w:t>
            </w:r>
          </w:p>
          <w:p w14:paraId="01CABF0E" w14:textId="7D727C30" w:rsidR="000C715E" w:rsidRPr="009D6FFB" w:rsidRDefault="000C715E">
            <w:pPr>
              <w:pStyle w:val="Default"/>
              <w:rPr>
                <w:rFonts w:asciiTheme="minorHAnsi" w:hAnsiTheme="minorHAnsi"/>
                <w:sz w:val="22"/>
                <w:szCs w:val="22"/>
              </w:rPr>
            </w:pPr>
          </w:p>
        </w:tc>
      </w:tr>
      <w:tr w:rsidR="00B35EA1" w14:paraId="3C2B8F03" w14:textId="77777777" w:rsidTr="001F488F">
        <w:trPr>
          <w:trHeight w:val="358"/>
        </w:trPr>
        <w:tc>
          <w:tcPr>
            <w:tcW w:w="1276" w:type="dxa"/>
          </w:tcPr>
          <w:p w14:paraId="37516344" w14:textId="77777777" w:rsidR="00B35EA1" w:rsidRPr="009D6FFB" w:rsidRDefault="00B35EA1">
            <w:pPr>
              <w:pStyle w:val="Default"/>
              <w:rPr>
                <w:rFonts w:asciiTheme="minorHAnsi" w:hAnsiTheme="minorHAnsi"/>
                <w:sz w:val="22"/>
                <w:szCs w:val="22"/>
              </w:rPr>
            </w:pPr>
            <w:r w:rsidRPr="009D6FFB">
              <w:rPr>
                <w:rFonts w:asciiTheme="minorHAnsi" w:hAnsiTheme="minorHAnsi"/>
                <w:sz w:val="22"/>
                <w:szCs w:val="22"/>
              </w:rPr>
              <w:t xml:space="preserve">4 </w:t>
            </w:r>
          </w:p>
        </w:tc>
        <w:tc>
          <w:tcPr>
            <w:tcW w:w="6946" w:type="dxa"/>
          </w:tcPr>
          <w:p w14:paraId="5BF28DE9" w14:textId="77777777" w:rsidR="00B35EA1" w:rsidRDefault="00B35EA1">
            <w:pPr>
              <w:pStyle w:val="Default"/>
              <w:rPr>
                <w:rFonts w:asciiTheme="minorHAnsi" w:hAnsiTheme="minorHAnsi"/>
                <w:sz w:val="22"/>
                <w:szCs w:val="22"/>
              </w:rPr>
            </w:pPr>
            <w:r w:rsidRPr="009D6FFB">
              <w:rPr>
                <w:rFonts w:asciiTheme="minorHAnsi" w:hAnsiTheme="minorHAnsi"/>
                <w:sz w:val="22"/>
                <w:szCs w:val="22"/>
              </w:rPr>
              <w:t xml:space="preserve">What measures should be deployed to drive consumer participation and engagement in two-sided market offerings, and what consumer protection frameworks should complement the design? </w:t>
            </w:r>
          </w:p>
          <w:p w14:paraId="0C264CAD" w14:textId="77777777" w:rsidR="003E7B86" w:rsidRDefault="003E7B86">
            <w:pPr>
              <w:pStyle w:val="Default"/>
              <w:rPr>
                <w:rFonts w:asciiTheme="minorHAnsi" w:hAnsiTheme="minorHAnsi"/>
                <w:sz w:val="22"/>
                <w:szCs w:val="22"/>
              </w:rPr>
            </w:pPr>
          </w:p>
          <w:p w14:paraId="785A6386" w14:textId="77777777" w:rsidR="00AC0432" w:rsidRPr="000C715E" w:rsidRDefault="00AC0432" w:rsidP="00AC0432">
            <w:pPr>
              <w:pStyle w:val="Default"/>
              <w:rPr>
                <w:rFonts w:asciiTheme="minorHAnsi" w:hAnsiTheme="minorHAnsi"/>
                <w:color w:val="7030A0"/>
                <w:sz w:val="22"/>
                <w:szCs w:val="22"/>
              </w:rPr>
            </w:pPr>
            <w:r w:rsidRPr="000C715E">
              <w:rPr>
                <w:rFonts w:asciiTheme="minorHAnsi" w:hAnsiTheme="minorHAnsi"/>
                <w:color w:val="7030A0"/>
                <w:sz w:val="22"/>
                <w:szCs w:val="22"/>
              </w:rPr>
              <w:t xml:space="preserve">This is a topic deserving of extensive investigation.  We suggest that efforts are made in educating and outreach so that over time consumers, very broadly, gain an understanding and acceptance of DER and two-way market design, so that can consider how to participate.  Like all major technology developments (eg. Internet, NBN, mobile phones, EVs, rooftop solar) consumers will make choices in their best interests when they are well-informed. </w:t>
            </w:r>
          </w:p>
          <w:p w14:paraId="4859E824" w14:textId="79364E10" w:rsidR="000C715E" w:rsidRPr="009D6FFB" w:rsidRDefault="000C715E">
            <w:pPr>
              <w:pStyle w:val="Default"/>
              <w:rPr>
                <w:rFonts w:asciiTheme="minorHAnsi" w:hAnsiTheme="minorHAnsi"/>
                <w:sz w:val="22"/>
                <w:szCs w:val="22"/>
              </w:rPr>
            </w:pPr>
          </w:p>
        </w:tc>
      </w:tr>
      <w:tr w:rsidR="00B35EA1" w14:paraId="20514C2A" w14:textId="77777777" w:rsidTr="001F488F">
        <w:trPr>
          <w:trHeight w:val="358"/>
        </w:trPr>
        <w:tc>
          <w:tcPr>
            <w:tcW w:w="1276" w:type="dxa"/>
          </w:tcPr>
          <w:p w14:paraId="6E1A2913" w14:textId="77777777" w:rsidR="00B35EA1" w:rsidRPr="009D6FFB" w:rsidRDefault="00B35EA1">
            <w:pPr>
              <w:pStyle w:val="Default"/>
              <w:rPr>
                <w:rFonts w:asciiTheme="minorHAnsi" w:hAnsiTheme="minorHAnsi"/>
                <w:sz w:val="22"/>
                <w:szCs w:val="22"/>
              </w:rPr>
            </w:pPr>
            <w:r w:rsidRPr="009D6FFB">
              <w:rPr>
                <w:rFonts w:asciiTheme="minorHAnsi" w:hAnsiTheme="minorHAnsi"/>
                <w:sz w:val="22"/>
                <w:szCs w:val="22"/>
              </w:rPr>
              <w:t xml:space="preserve">5 </w:t>
            </w:r>
          </w:p>
        </w:tc>
        <w:tc>
          <w:tcPr>
            <w:tcW w:w="6946" w:type="dxa"/>
          </w:tcPr>
          <w:p w14:paraId="0CECCB2F" w14:textId="77777777" w:rsidR="00B35EA1" w:rsidRDefault="00B35EA1">
            <w:pPr>
              <w:pStyle w:val="Default"/>
              <w:rPr>
                <w:rFonts w:asciiTheme="minorHAnsi" w:hAnsiTheme="minorHAnsi"/>
                <w:sz w:val="22"/>
                <w:szCs w:val="22"/>
              </w:rPr>
            </w:pPr>
            <w:r w:rsidRPr="009D6FFB">
              <w:rPr>
                <w:rFonts w:asciiTheme="minorHAnsi" w:hAnsiTheme="minorHAnsi"/>
                <w:sz w:val="22"/>
                <w:szCs w:val="22"/>
              </w:rPr>
              <w:t xml:space="preserve">What might principles or assessment criteria contain to help assess whether it is timely and appropriate to progress through to more sophisticated levels of the arrangements? </w:t>
            </w:r>
          </w:p>
          <w:p w14:paraId="4BAB6323" w14:textId="77777777" w:rsidR="003E7B86" w:rsidRDefault="003E7B86">
            <w:pPr>
              <w:pStyle w:val="Default"/>
              <w:rPr>
                <w:rFonts w:asciiTheme="minorHAnsi" w:hAnsiTheme="minorHAnsi"/>
                <w:sz w:val="22"/>
                <w:szCs w:val="22"/>
              </w:rPr>
            </w:pPr>
          </w:p>
          <w:p w14:paraId="710F0116" w14:textId="7D86A29B" w:rsidR="00AC0432" w:rsidRDefault="00AC0432" w:rsidP="00AC0432">
            <w:pPr>
              <w:pStyle w:val="Default"/>
              <w:rPr>
                <w:rFonts w:asciiTheme="minorHAnsi" w:hAnsiTheme="minorHAnsi"/>
                <w:color w:val="7030A0"/>
                <w:sz w:val="22"/>
                <w:szCs w:val="22"/>
              </w:rPr>
            </w:pPr>
            <w:r w:rsidRPr="00BD77D1">
              <w:rPr>
                <w:rFonts w:asciiTheme="minorHAnsi" w:hAnsiTheme="minorHAnsi"/>
                <w:color w:val="7030A0"/>
                <w:sz w:val="22"/>
                <w:szCs w:val="22"/>
              </w:rPr>
              <w:t>The</w:t>
            </w:r>
            <w:r>
              <w:rPr>
                <w:rFonts w:asciiTheme="minorHAnsi" w:hAnsiTheme="minorHAnsi"/>
                <w:color w:val="7030A0"/>
                <w:sz w:val="22"/>
                <w:szCs w:val="22"/>
              </w:rPr>
              <w:t xml:space="preserve">re could be a </w:t>
            </w:r>
            <w:r w:rsidRPr="00BD77D1">
              <w:rPr>
                <w:rFonts w:asciiTheme="minorHAnsi" w:hAnsiTheme="minorHAnsi"/>
                <w:color w:val="7030A0"/>
                <w:sz w:val="22"/>
                <w:szCs w:val="22"/>
              </w:rPr>
              <w:t xml:space="preserve">benefit </w:t>
            </w:r>
            <w:r>
              <w:rPr>
                <w:rFonts w:asciiTheme="minorHAnsi" w:hAnsiTheme="minorHAnsi"/>
                <w:color w:val="7030A0"/>
                <w:sz w:val="22"/>
                <w:szCs w:val="22"/>
              </w:rPr>
              <w:t>to</w:t>
            </w:r>
            <w:r w:rsidRPr="00BD77D1">
              <w:rPr>
                <w:rFonts w:asciiTheme="minorHAnsi" w:hAnsiTheme="minorHAnsi"/>
                <w:color w:val="7030A0"/>
                <w:sz w:val="22"/>
                <w:szCs w:val="22"/>
              </w:rPr>
              <w:t xml:space="preserve"> starting with large energy users</w:t>
            </w:r>
            <w:r>
              <w:rPr>
                <w:rFonts w:asciiTheme="minorHAnsi" w:hAnsiTheme="minorHAnsi"/>
                <w:color w:val="7030A0"/>
                <w:sz w:val="22"/>
                <w:szCs w:val="22"/>
              </w:rPr>
              <w:t xml:space="preserve"> that have </w:t>
            </w:r>
            <w:r w:rsidRPr="00BD77D1">
              <w:rPr>
                <w:rFonts w:asciiTheme="minorHAnsi" w:hAnsiTheme="minorHAnsi"/>
                <w:color w:val="7030A0"/>
                <w:sz w:val="22"/>
                <w:szCs w:val="22"/>
              </w:rPr>
              <w:t>predictable demand loads</w:t>
            </w:r>
            <w:r>
              <w:rPr>
                <w:rFonts w:asciiTheme="minorHAnsi" w:hAnsiTheme="minorHAnsi"/>
                <w:color w:val="7030A0"/>
                <w:sz w:val="22"/>
                <w:szCs w:val="22"/>
              </w:rPr>
              <w:t>. T</w:t>
            </w:r>
            <w:r w:rsidRPr="00BD77D1">
              <w:rPr>
                <w:rFonts w:asciiTheme="minorHAnsi" w:hAnsiTheme="minorHAnsi"/>
                <w:color w:val="7030A0"/>
                <w:sz w:val="22"/>
                <w:szCs w:val="22"/>
              </w:rPr>
              <w:t>he DR capacity will be significant, and the arrangements can be tailored for each industry and thus designed to be effective for both sides of the market.</w:t>
            </w:r>
            <w:r>
              <w:rPr>
                <w:rFonts w:asciiTheme="minorHAnsi" w:hAnsiTheme="minorHAnsi"/>
                <w:color w:val="7030A0"/>
                <w:sz w:val="22"/>
                <w:szCs w:val="22"/>
              </w:rPr>
              <w:t xml:space="preserve"> </w:t>
            </w:r>
            <w:r w:rsidRPr="00BD77D1">
              <w:rPr>
                <w:rFonts w:asciiTheme="minorHAnsi" w:hAnsiTheme="minorHAnsi"/>
                <w:color w:val="7030A0"/>
                <w:sz w:val="22"/>
                <w:szCs w:val="22"/>
              </w:rPr>
              <w:t>Once that is trialled, aggregation of smaller energy user DR capacity could be added to the market.</w:t>
            </w:r>
            <w:r>
              <w:rPr>
                <w:rFonts w:asciiTheme="minorHAnsi" w:hAnsiTheme="minorHAnsi"/>
                <w:color w:val="7030A0"/>
                <w:sz w:val="22"/>
                <w:szCs w:val="22"/>
              </w:rPr>
              <w:t xml:space="preserve"> </w:t>
            </w:r>
            <w:r w:rsidRPr="00BD77D1">
              <w:rPr>
                <w:rFonts w:asciiTheme="minorHAnsi" w:hAnsiTheme="minorHAnsi"/>
                <w:color w:val="7030A0"/>
                <w:sz w:val="22"/>
                <w:szCs w:val="22"/>
              </w:rPr>
              <w:t>A key principle should be that the arrangements contribute to grid stability and offer a fair return for all participants.</w:t>
            </w:r>
          </w:p>
          <w:p w14:paraId="7CA6A693" w14:textId="2DC09A1A" w:rsidR="000C715E" w:rsidRPr="009D6FFB" w:rsidRDefault="000C715E">
            <w:pPr>
              <w:pStyle w:val="Default"/>
              <w:rPr>
                <w:rFonts w:asciiTheme="minorHAnsi" w:hAnsiTheme="minorHAnsi"/>
                <w:sz w:val="22"/>
                <w:szCs w:val="22"/>
              </w:rPr>
            </w:pPr>
          </w:p>
        </w:tc>
      </w:tr>
      <w:tr w:rsidR="00B35EA1" w14:paraId="241CEFF9" w14:textId="77777777" w:rsidTr="001F488F">
        <w:trPr>
          <w:trHeight w:val="360"/>
        </w:trPr>
        <w:tc>
          <w:tcPr>
            <w:tcW w:w="1276" w:type="dxa"/>
          </w:tcPr>
          <w:p w14:paraId="69E3BD59" w14:textId="77777777" w:rsidR="00B35EA1" w:rsidRPr="009D6FFB" w:rsidRDefault="00B35EA1">
            <w:pPr>
              <w:pStyle w:val="Default"/>
              <w:rPr>
                <w:rFonts w:asciiTheme="minorHAnsi" w:hAnsiTheme="minorHAnsi"/>
                <w:sz w:val="22"/>
                <w:szCs w:val="22"/>
              </w:rPr>
            </w:pPr>
            <w:r w:rsidRPr="009D6FFB">
              <w:rPr>
                <w:rFonts w:asciiTheme="minorHAnsi" w:hAnsiTheme="minorHAnsi"/>
                <w:sz w:val="22"/>
                <w:szCs w:val="22"/>
              </w:rPr>
              <w:lastRenderedPageBreak/>
              <w:t xml:space="preserve">6 </w:t>
            </w:r>
          </w:p>
        </w:tc>
        <w:tc>
          <w:tcPr>
            <w:tcW w:w="6946" w:type="dxa"/>
          </w:tcPr>
          <w:p w14:paraId="375A0CF7" w14:textId="77777777" w:rsidR="00B35EA1" w:rsidRDefault="00B35EA1">
            <w:pPr>
              <w:pStyle w:val="Default"/>
              <w:rPr>
                <w:rFonts w:asciiTheme="minorHAnsi" w:hAnsiTheme="minorHAnsi"/>
                <w:sz w:val="22"/>
                <w:szCs w:val="22"/>
              </w:rPr>
            </w:pPr>
            <w:r w:rsidRPr="009D6FFB">
              <w:rPr>
                <w:rFonts w:asciiTheme="minorHAnsi" w:hAnsiTheme="minorHAnsi"/>
                <w:sz w:val="22"/>
                <w:szCs w:val="22"/>
              </w:rPr>
              <w:t xml:space="preserve">The ESB is considering combining the DER integration (below) and two-sided markets workstreams, or elements thereof, do stakeholders have suggestions on how this should be done? </w:t>
            </w:r>
          </w:p>
          <w:p w14:paraId="48510F97" w14:textId="7A37D3D7" w:rsidR="003E7B86" w:rsidRDefault="003E7B86">
            <w:pPr>
              <w:pStyle w:val="Default"/>
              <w:rPr>
                <w:rFonts w:asciiTheme="minorHAnsi" w:hAnsiTheme="minorHAnsi"/>
                <w:sz w:val="22"/>
                <w:szCs w:val="22"/>
              </w:rPr>
            </w:pPr>
          </w:p>
          <w:p w14:paraId="108D107B" w14:textId="30338488" w:rsidR="003E7B86" w:rsidRDefault="00DD2F2C">
            <w:pPr>
              <w:pStyle w:val="Default"/>
              <w:rPr>
                <w:rFonts w:asciiTheme="minorHAnsi" w:hAnsiTheme="minorHAnsi"/>
                <w:color w:val="7030A0"/>
                <w:sz w:val="22"/>
                <w:szCs w:val="22"/>
              </w:rPr>
            </w:pPr>
            <w:r w:rsidRPr="000C715E">
              <w:rPr>
                <w:rFonts w:asciiTheme="minorHAnsi" w:hAnsiTheme="minorHAnsi"/>
                <w:color w:val="7030A0"/>
                <w:sz w:val="22"/>
                <w:szCs w:val="22"/>
              </w:rPr>
              <w:t>No comment at this time.</w:t>
            </w:r>
          </w:p>
          <w:p w14:paraId="43701F1E" w14:textId="77777777" w:rsidR="00504148" w:rsidRPr="000C715E" w:rsidRDefault="00504148">
            <w:pPr>
              <w:pStyle w:val="Default"/>
              <w:rPr>
                <w:rFonts w:asciiTheme="minorHAnsi" w:hAnsiTheme="minorHAnsi"/>
                <w:color w:val="7030A0"/>
                <w:sz w:val="22"/>
                <w:szCs w:val="22"/>
              </w:rPr>
            </w:pPr>
          </w:p>
          <w:p w14:paraId="60E3F438" w14:textId="6D55D303" w:rsidR="000C715E" w:rsidRPr="009D6FFB" w:rsidRDefault="000C715E">
            <w:pPr>
              <w:pStyle w:val="Default"/>
              <w:rPr>
                <w:rFonts w:asciiTheme="minorHAnsi" w:hAnsiTheme="minorHAnsi"/>
                <w:sz w:val="22"/>
                <w:szCs w:val="22"/>
              </w:rPr>
            </w:pPr>
          </w:p>
        </w:tc>
      </w:tr>
      <w:tr w:rsidR="00B35EA1" w14:paraId="00893D59" w14:textId="77777777" w:rsidTr="001F488F">
        <w:trPr>
          <w:trHeight w:val="232"/>
        </w:trPr>
        <w:tc>
          <w:tcPr>
            <w:tcW w:w="1276" w:type="dxa"/>
          </w:tcPr>
          <w:p w14:paraId="3E9BAB9C" w14:textId="77777777" w:rsidR="00B35EA1" w:rsidRPr="009D6FFB" w:rsidRDefault="00B35EA1">
            <w:pPr>
              <w:pStyle w:val="Default"/>
              <w:rPr>
                <w:rFonts w:asciiTheme="minorHAnsi" w:hAnsiTheme="minorHAnsi"/>
                <w:sz w:val="22"/>
                <w:szCs w:val="22"/>
              </w:rPr>
            </w:pPr>
            <w:r w:rsidRPr="009D6FFB">
              <w:rPr>
                <w:rFonts w:asciiTheme="minorHAnsi" w:hAnsiTheme="minorHAnsi"/>
                <w:b/>
                <w:bCs/>
                <w:sz w:val="22"/>
                <w:szCs w:val="22"/>
              </w:rPr>
              <w:t xml:space="preserve">Section 9 </w:t>
            </w:r>
          </w:p>
        </w:tc>
        <w:tc>
          <w:tcPr>
            <w:tcW w:w="6946" w:type="dxa"/>
          </w:tcPr>
          <w:p w14:paraId="75134D4B" w14:textId="77777777" w:rsidR="00B35EA1" w:rsidRPr="009D6FFB" w:rsidRDefault="00B35EA1">
            <w:pPr>
              <w:pStyle w:val="Default"/>
              <w:rPr>
                <w:rFonts w:asciiTheme="minorHAnsi" w:hAnsiTheme="minorHAnsi"/>
                <w:sz w:val="22"/>
                <w:szCs w:val="22"/>
              </w:rPr>
            </w:pPr>
            <w:r w:rsidRPr="009D6FFB">
              <w:rPr>
                <w:rFonts w:asciiTheme="minorHAnsi" w:hAnsiTheme="minorHAnsi"/>
                <w:b/>
                <w:bCs/>
                <w:sz w:val="22"/>
                <w:szCs w:val="22"/>
              </w:rPr>
              <w:t xml:space="preserve">Valuing Demand flexibility and Integrating DER – Market Design Initiative F </w:t>
            </w:r>
          </w:p>
        </w:tc>
      </w:tr>
      <w:tr w:rsidR="00B35EA1" w14:paraId="6DE16BE4" w14:textId="77777777" w:rsidTr="001F488F">
        <w:trPr>
          <w:trHeight w:val="483"/>
        </w:trPr>
        <w:tc>
          <w:tcPr>
            <w:tcW w:w="1276" w:type="dxa"/>
          </w:tcPr>
          <w:p w14:paraId="2C031FA1" w14:textId="77777777" w:rsidR="00B35EA1" w:rsidRPr="009D6FFB" w:rsidRDefault="00B35EA1">
            <w:pPr>
              <w:pStyle w:val="Default"/>
              <w:rPr>
                <w:rFonts w:asciiTheme="minorHAnsi" w:hAnsiTheme="minorHAnsi"/>
                <w:sz w:val="22"/>
                <w:szCs w:val="22"/>
              </w:rPr>
            </w:pPr>
            <w:r w:rsidRPr="009D6FFB">
              <w:rPr>
                <w:rFonts w:asciiTheme="minorHAnsi" w:hAnsiTheme="minorHAnsi"/>
                <w:sz w:val="22"/>
                <w:szCs w:val="22"/>
              </w:rPr>
              <w:t xml:space="preserve">1 </w:t>
            </w:r>
          </w:p>
        </w:tc>
        <w:tc>
          <w:tcPr>
            <w:tcW w:w="6946" w:type="dxa"/>
          </w:tcPr>
          <w:p w14:paraId="6EF80BBD" w14:textId="77777777" w:rsidR="00B35EA1" w:rsidRDefault="00B35EA1">
            <w:pPr>
              <w:pStyle w:val="Default"/>
              <w:rPr>
                <w:rFonts w:asciiTheme="minorHAnsi" w:hAnsiTheme="minorHAnsi"/>
                <w:sz w:val="22"/>
                <w:szCs w:val="22"/>
              </w:rPr>
            </w:pPr>
            <w:r w:rsidRPr="009D6FFB">
              <w:rPr>
                <w:rFonts w:asciiTheme="minorHAnsi" w:hAnsiTheme="minorHAnsi"/>
                <w:sz w:val="22"/>
                <w:szCs w:val="22"/>
              </w:rPr>
              <w:t xml:space="preserve">Are there any key considerations for the incorporation of DER into the market design that have not been covered here? For DER to participate in markets, it needs to be responsive. How should the Post-2025 project be thinking about enabling responsive DER? </w:t>
            </w:r>
          </w:p>
          <w:p w14:paraId="0EB2BA43" w14:textId="77777777" w:rsidR="003E7B86" w:rsidRDefault="003E7B86">
            <w:pPr>
              <w:pStyle w:val="Default"/>
              <w:rPr>
                <w:rFonts w:asciiTheme="minorHAnsi" w:hAnsiTheme="minorHAnsi"/>
                <w:sz w:val="22"/>
                <w:szCs w:val="22"/>
              </w:rPr>
            </w:pPr>
          </w:p>
          <w:p w14:paraId="27F46116" w14:textId="77777777" w:rsidR="003E7B86" w:rsidRPr="000C715E" w:rsidRDefault="002F1B61">
            <w:pPr>
              <w:pStyle w:val="Default"/>
              <w:rPr>
                <w:rFonts w:asciiTheme="minorHAnsi" w:hAnsiTheme="minorHAnsi"/>
                <w:color w:val="7030A0"/>
                <w:sz w:val="22"/>
                <w:szCs w:val="22"/>
              </w:rPr>
            </w:pPr>
            <w:r w:rsidRPr="000C715E">
              <w:rPr>
                <w:rFonts w:asciiTheme="minorHAnsi" w:hAnsiTheme="minorHAnsi"/>
                <w:color w:val="7030A0"/>
                <w:sz w:val="22"/>
                <w:szCs w:val="22"/>
              </w:rPr>
              <w:t xml:space="preserve">The most important factor involves data and connectedness. The recent ESB Consultation Paper on establishing standards for DER considered the need for the industry to adopt common platforms and technology standards to allow for seamless integration across from the consumer level, to retailer, DNSP, and AEMO. The digital systems required to manage this framework efficiently do not have to be overly complex, but will need to be capable of handling large data transfer rates and </w:t>
            </w:r>
            <w:r w:rsidR="003F5819" w:rsidRPr="000C715E">
              <w:rPr>
                <w:rFonts w:asciiTheme="minorHAnsi" w:hAnsiTheme="minorHAnsi"/>
                <w:color w:val="7030A0"/>
                <w:sz w:val="22"/>
                <w:szCs w:val="22"/>
              </w:rPr>
              <w:t>powerful</w:t>
            </w:r>
            <w:r w:rsidRPr="000C715E">
              <w:rPr>
                <w:rFonts w:asciiTheme="minorHAnsi" w:hAnsiTheme="minorHAnsi"/>
                <w:color w:val="7030A0"/>
                <w:sz w:val="22"/>
                <w:szCs w:val="22"/>
              </w:rPr>
              <w:t xml:space="preserve"> cloud</w:t>
            </w:r>
            <w:r w:rsidR="003F5819" w:rsidRPr="000C715E">
              <w:rPr>
                <w:rFonts w:asciiTheme="minorHAnsi" w:hAnsiTheme="minorHAnsi"/>
                <w:color w:val="7030A0"/>
                <w:sz w:val="22"/>
                <w:szCs w:val="22"/>
              </w:rPr>
              <w:t xml:space="preserve">-based computing. It may be a challenge to bring all stakeholders together and settle on a unified approach, but it needs to be done. Again, there is the problem of who pays for it. It is important to work through the issues now, perhaps by expanding the </w:t>
            </w:r>
            <w:r w:rsidR="00990870" w:rsidRPr="000C715E">
              <w:rPr>
                <w:rFonts w:asciiTheme="minorHAnsi" w:hAnsiTheme="minorHAnsi"/>
                <w:color w:val="7030A0"/>
                <w:sz w:val="22"/>
                <w:szCs w:val="22"/>
              </w:rPr>
              <w:t>Distributed Energy Integration Program (</w:t>
            </w:r>
            <w:r w:rsidR="003F5819" w:rsidRPr="000C715E">
              <w:rPr>
                <w:rFonts w:asciiTheme="minorHAnsi" w:hAnsiTheme="minorHAnsi"/>
                <w:color w:val="7030A0"/>
                <w:sz w:val="22"/>
                <w:szCs w:val="22"/>
              </w:rPr>
              <w:t>DEIP</w:t>
            </w:r>
            <w:r w:rsidR="00990870" w:rsidRPr="000C715E">
              <w:rPr>
                <w:rFonts w:asciiTheme="minorHAnsi" w:hAnsiTheme="minorHAnsi"/>
                <w:color w:val="7030A0"/>
                <w:sz w:val="22"/>
                <w:szCs w:val="22"/>
              </w:rPr>
              <w:t>)</w:t>
            </w:r>
            <w:r w:rsidR="003F5819" w:rsidRPr="000C715E">
              <w:rPr>
                <w:rFonts w:asciiTheme="minorHAnsi" w:hAnsiTheme="minorHAnsi"/>
                <w:color w:val="7030A0"/>
                <w:sz w:val="22"/>
                <w:szCs w:val="22"/>
              </w:rPr>
              <w:t xml:space="preserve"> to </w:t>
            </w:r>
            <w:r w:rsidR="00990870" w:rsidRPr="000C715E">
              <w:rPr>
                <w:rFonts w:asciiTheme="minorHAnsi" w:hAnsiTheme="minorHAnsi"/>
                <w:color w:val="7030A0"/>
                <w:sz w:val="22"/>
                <w:szCs w:val="22"/>
              </w:rPr>
              <w:t>move from trials towards</w:t>
            </w:r>
            <w:r w:rsidR="003F5819" w:rsidRPr="000C715E">
              <w:rPr>
                <w:rFonts w:asciiTheme="minorHAnsi" w:hAnsiTheme="minorHAnsi"/>
                <w:color w:val="7030A0"/>
                <w:sz w:val="22"/>
                <w:szCs w:val="22"/>
              </w:rPr>
              <w:t xml:space="preserve"> full implementation in the market. </w:t>
            </w:r>
          </w:p>
          <w:p w14:paraId="0EE121FC" w14:textId="0EBDF1DD" w:rsidR="000C715E" w:rsidRPr="009D6FFB" w:rsidRDefault="000C715E">
            <w:pPr>
              <w:pStyle w:val="Default"/>
              <w:rPr>
                <w:rFonts w:asciiTheme="minorHAnsi" w:hAnsiTheme="minorHAnsi"/>
                <w:sz w:val="22"/>
                <w:szCs w:val="22"/>
              </w:rPr>
            </w:pPr>
          </w:p>
        </w:tc>
      </w:tr>
      <w:tr w:rsidR="00B35EA1" w14:paraId="6154A1BA" w14:textId="77777777" w:rsidTr="001F488F">
        <w:trPr>
          <w:trHeight w:val="609"/>
        </w:trPr>
        <w:tc>
          <w:tcPr>
            <w:tcW w:w="1276" w:type="dxa"/>
          </w:tcPr>
          <w:p w14:paraId="7BF4F9E1" w14:textId="77777777" w:rsidR="00B35EA1" w:rsidRPr="009D6FFB" w:rsidRDefault="00B35EA1">
            <w:pPr>
              <w:pStyle w:val="Default"/>
              <w:rPr>
                <w:rFonts w:asciiTheme="minorHAnsi" w:hAnsiTheme="minorHAnsi"/>
                <w:sz w:val="22"/>
                <w:szCs w:val="22"/>
              </w:rPr>
            </w:pPr>
            <w:r w:rsidRPr="009D6FFB">
              <w:rPr>
                <w:rFonts w:asciiTheme="minorHAnsi" w:hAnsiTheme="minorHAnsi"/>
                <w:sz w:val="22"/>
                <w:szCs w:val="22"/>
              </w:rPr>
              <w:t xml:space="preserve">2 </w:t>
            </w:r>
          </w:p>
        </w:tc>
        <w:tc>
          <w:tcPr>
            <w:tcW w:w="6946" w:type="dxa"/>
          </w:tcPr>
          <w:p w14:paraId="4627AC17" w14:textId="77777777" w:rsidR="00B35EA1" w:rsidRDefault="00B35EA1">
            <w:pPr>
              <w:pStyle w:val="Default"/>
              <w:rPr>
                <w:rFonts w:asciiTheme="minorHAnsi" w:hAnsiTheme="minorHAnsi"/>
                <w:sz w:val="22"/>
                <w:szCs w:val="22"/>
              </w:rPr>
            </w:pPr>
            <w:r w:rsidRPr="009D6FFB">
              <w:rPr>
                <w:rFonts w:asciiTheme="minorHAnsi" w:hAnsiTheme="minorHAnsi"/>
                <w:sz w:val="22"/>
                <w:szCs w:val="22"/>
              </w:rPr>
              <w:t xml:space="preserve">In the next phase of the project the ESB proposes to focus on development of a detailed DER market integration proposal. What are the most important priorities for DER market integration? The ESB is considering combining the DER integration and two-sided markets workstreams, or elements thereof, do stakeholders have suggestions on how this should be done? </w:t>
            </w:r>
            <w:r w:rsidR="003E7B86">
              <w:rPr>
                <w:rFonts w:asciiTheme="minorHAnsi" w:hAnsiTheme="minorHAnsi"/>
                <w:sz w:val="22"/>
                <w:szCs w:val="22"/>
              </w:rPr>
              <w:t xml:space="preserve"> </w:t>
            </w:r>
          </w:p>
          <w:p w14:paraId="0F52CD5D" w14:textId="77777777" w:rsidR="003E7B86" w:rsidRDefault="003E7B86">
            <w:pPr>
              <w:pStyle w:val="Default"/>
              <w:rPr>
                <w:rFonts w:asciiTheme="minorHAnsi" w:hAnsiTheme="minorHAnsi"/>
                <w:sz w:val="22"/>
                <w:szCs w:val="22"/>
              </w:rPr>
            </w:pPr>
          </w:p>
          <w:p w14:paraId="05FB74E0" w14:textId="375446DB" w:rsidR="003E7B86" w:rsidRPr="000C715E" w:rsidRDefault="00990870">
            <w:pPr>
              <w:pStyle w:val="Default"/>
              <w:rPr>
                <w:rFonts w:asciiTheme="minorHAnsi" w:hAnsiTheme="minorHAnsi"/>
                <w:color w:val="7030A0"/>
                <w:sz w:val="22"/>
                <w:szCs w:val="22"/>
              </w:rPr>
            </w:pPr>
            <w:r w:rsidRPr="000C715E">
              <w:rPr>
                <w:rFonts w:asciiTheme="minorHAnsi" w:hAnsiTheme="minorHAnsi"/>
                <w:color w:val="7030A0"/>
                <w:sz w:val="22"/>
                <w:szCs w:val="22"/>
              </w:rPr>
              <w:t>The DEIP should provide insights for this. IEEFA has no suggestions to offer in addition to those that may be derived from the DEIP reports.</w:t>
            </w:r>
          </w:p>
          <w:p w14:paraId="0023327D" w14:textId="1ABF6C73" w:rsidR="003E7B86" w:rsidRPr="009D6FFB" w:rsidRDefault="003E7B86">
            <w:pPr>
              <w:pStyle w:val="Default"/>
              <w:rPr>
                <w:rFonts w:asciiTheme="minorHAnsi" w:hAnsiTheme="minorHAnsi"/>
                <w:sz w:val="22"/>
                <w:szCs w:val="22"/>
              </w:rPr>
            </w:pPr>
          </w:p>
        </w:tc>
      </w:tr>
      <w:tr w:rsidR="00B35EA1" w:rsidRPr="00B46E30" w14:paraId="02B36F22" w14:textId="77777777" w:rsidTr="001F488F">
        <w:trPr>
          <w:trHeight w:val="357"/>
        </w:trPr>
        <w:tc>
          <w:tcPr>
            <w:tcW w:w="1276" w:type="dxa"/>
          </w:tcPr>
          <w:p w14:paraId="06CD3EE2" w14:textId="77777777" w:rsidR="00B35EA1" w:rsidRPr="009D6FFB" w:rsidRDefault="00B35EA1">
            <w:pPr>
              <w:pStyle w:val="Default"/>
              <w:rPr>
                <w:rFonts w:asciiTheme="minorHAnsi" w:hAnsiTheme="minorHAnsi"/>
                <w:sz w:val="22"/>
                <w:szCs w:val="22"/>
              </w:rPr>
            </w:pPr>
            <w:r w:rsidRPr="009D6FFB">
              <w:rPr>
                <w:rFonts w:asciiTheme="minorHAnsi" w:hAnsiTheme="minorHAnsi"/>
                <w:sz w:val="22"/>
                <w:szCs w:val="22"/>
              </w:rPr>
              <w:t xml:space="preserve">3 </w:t>
            </w:r>
          </w:p>
        </w:tc>
        <w:tc>
          <w:tcPr>
            <w:tcW w:w="6946" w:type="dxa"/>
          </w:tcPr>
          <w:p w14:paraId="06EF799A" w14:textId="77777777" w:rsidR="00B35EA1" w:rsidRDefault="00B35EA1">
            <w:pPr>
              <w:pStyle w:val="Default"/>
              <w:rPr>
                <w:rFonts w:asciiTheme="minorHAnsi" w:hAnsiTheme="minorHAnsi"/>
                <w:sz w:val="22"/>
                <w:szCs w:val="22"/>
              </w:rPr>
            </w:pPr>
            <w:r w:rsidRPr="009D6FFB">
              <w:rPr>
                <w:rFonts w:asciiTheme="minorHAnsi" w:hAnsiTheme="minorHAnsi"/>
                <w:sz w:val="22"/>
                <w:szCs w:val="22"/>
              </w:rPr>
              <w:t xml:space="preserve">How can we ensure that owners of DER can optimise the benefits of their DER assets over time as technology and markets evolve? How do we time reforms to manage the costs and benefits for DER owners? </w:t>
            </w:r>
          </w:p>
          <w:p w14:paraId="4BEA4DF1" w14:textId="77777777" w:rsidR="003E7B86" w:rsidRDefault="003E7B86">
            <w:pPr>
              <w:pStyle w:val="Default"/>
              <w:rPr>
                <w:rFonts w:asciiTheme="minorHAnsi" w:hAnsiTheme="minorHAnsi"/>
                <w:sz w:val="22"/>
                <w:szCs w:val="22"/>
              </w:rPr>
            </w:pPr>
          </w:p>
          <w:p w14:paraId="487EC816" w14:textId="63EA97EB" w:rsidR="003E7B86" w:rsidRDefault="003D5EB8">
            <w:pPr>
              <w:pStyle w:val="Default"/>
              <w:rPr>
                <w:rFonts w:asciiTheme="minorHAnsi" w:hAnsiTheme="minorHAnsi"/>
                <w:sz w:val="22"/>
                <w:szCs w:val="22"/>
              </w:rPr>
            </w:pPr>
            <w:r w:rsidRPr="000C715E">
              <w:rPr>
                <w:rFonts w:asciiTheme="minorHAnsi" w:hAnsiTheme="minorHAnsi"/>
                <w:color w:val="7030A0"/>
                <w:sz w:val="22"/>
                <w:szCs w:val="22"/>
              </w:rPr>
              <w:t>The ESB, or AEMO with support from the other agencies, could launch a campaign to educate and inform the general public. Retailers and third</w:t>
            </w:r>
            <w:r w:rsidR="007E37AF" w:rsidRPr="000C715E">
              <w:rPr>
                <w:rFonts w:asciiTheme="minorHAnsi" w:hAnsiTheme="minorHAnsi"/>
                <w:color w:val="7030A0"/>
                <w:sz w:val="22"/>
                <w:szCs w:val="22"/>
              </w:rPr>
              <w:t>-</w:t>
            </w:r>
            <w:r w:rsidRPr="000C715E">
              <w:rPr>
                <w:rFonts w:asciiTheme="minorHAnsi" w:hAnsiTheme="minorHAnsi"/>
                <w:color w:val="7030A0"/>
                <w:sz w:val="22"/>
                <w:szCs w:val="22"/>
              </w:rPr>
              <w:t xml:space="preserve">party participants, who offer services to consumers, will need to be regulated to some extent. The </w:t>
            </w:r>
            <w:r w:rsidR="007E37AF" w:rsidRPr="000C715E">
              <w:rPr>
                <w:rFonts w:asciiTheme="minorHAnsi" w:hAnsiTheme="minorHAnsi"/>
                <w:color w:val="7030A0"/>
                <w:sz w:val="22"/>
                <w:szCs w:val="22"/>
              </w:rPr>
              <w:t>market for products will likely adapt to the changing reforms, just as vehicles adapted to changing fuel standards and mobile phones adapted to changing broadband standards. Consumers will adapt in turn and will choose themselves when to upgrade and when to persist with existing technology. The DER market just needs to be transparent, simple and clear</w:t>
            </w:r>
            <w:r w:rsidR="007E37AF">
              <w:rPr>
                <w:rFonts w:asciiTheme="minorHAnsi" w:hAnsiTheme="minorHAnsi"/>
                <w:sz w:val="22"/>
                <w:szCs w:val="22"/>
              </w:rPr>
              <w:t>.</w:t>
            </w:r>
          </w:p>
          <w:p w14:paraId="0AF20B98" w14:textId="76BCEA8B" w:rsidR="003E7B86" w:rsidRPr="009D6FFB" w:rsidRDefault="003E7B86">
            <w:pPr>
              <w:pStyle w:val="Default"/>
              <w:rPr>
                <w:rFonts w:asciiTheme="minorHAnsi" w:hAnsiTheme="minorHAnsi"/>
                <w:sz w:val="22"/>
                <w:szCs w:val="22"/>
              </w:rPr>
            </w:pPr>
          </w:p>
        </w:tc>
      </w:tr>
    </w:tbl>
    <w:p w14:paraId="2BD27C1E" w14:textId="77777777" w:rsidR="00AF0E95" w:rsidRDefault="00AF0E95" w:rsidP="009C1BA7">
      <w:pPr>
        <w:spacing w:after="120"/>
        <w:ind w:left="720"/>
        <w:rPr>
          <w:rFonts w:eastAsia="Times New Roman" w:cstheme="minorHAnsi"/>
          <w:color w:val="000000"/>
          <w:szCs w:val="22"/>
          <w:lang w:val="en-AU"/>
        </w:rPr>
      </w:pPr>
      <w:bookmarkStart w:id="1" w:name="_Toc521919199"/>
      <w:bookmarkEnd w:id="0"/>
    </w:p>
    <w:p w14:paraId="55A8D495" w14:textId="3F66996A" w:rsidR="00AF0E95" w:rsidRDefault="00AF0E95">
      <w:pPr>
        <w:snapToGrid/>
        <w:rPr>
          <w:rFonts w:eastAsia="Times New Roman" w:cstheme="minorHAnsi"/>
          <w:color w:val="000000"/>
          <w:szCs w:val="22"/>
          <w:lang w:val="en-AU"/>
        </w:rPr>
      </w:pPr>
    </w:p>
    <w:p w14:paraId="3DF3ED71" w14:textId="44F066E9" w:rsidR="009C1BA7" w:rsidRPr="00A94BBE" w:rsidRDefault="009C1BA7" w:rsidP="009C1BA7">
      <w:pPr>
        <w:spacing w:after="120"/>
        <w:ind w:left="720"/>
        <w:rPr>
          <w:rFonts w:ascii="Calibri" w:hAnsi="Calibri" w:cs="Calibri"/>
          <w:b/>
          <w:color w:val="08568C"/>
          <w:sz w:val="40"/>
          <w:szCs w:val="40"/>
          <w:lang w:val="en-AU"/>
        </w:rPr>
      </w:pPr>
      <w:r w:rsidRPr="00A94BBE">
        <w:rPr>
          <w:rFonts w:ascii="Calibri" w:hAnsi="Calibri" w:cs="Calibri"/>
          <w:b/>
          <w:color w:val="08568C"/>
          <w:sz w:val="40"/>
          <w:szCs w:val="40"/>
          <w:lang w:val="en-AU"/>
        </w:rPr>
        <w:t>About IEEFA</w:t>
      </w:r>
      <w:bookmarkEnd w:id="1"/>
    </w:p>
    <w:p w14:paraId="51E8CAD0" w14:textId="2F6B08C8" w:rsidR="009C1BA7" w:rsidRDefault="009C1BA7" w:rsidP="009C1BA7">
      <w:pPr>
        <w:pStyle w:val="BodyText"/>
        <w:ind w:left="720"/>
        <w:rPr>
          <w:rStyle w:val="Hyperlink"/>
          <w:lang w:val="en-AU"/>
        </w:rPr>
      </w:pPr>
      <w:r w:rsidRPr="00A94BBE">
        <w:rPr>
          <w:lang w:val="en-AU"/>
        </w:rPr>
        <w:t xml:space="preserve">The Institute for Energy Economics and Financial Analysis conducts research and analyses on financial and economic issues related to energy and the environment. The Institute’s mission is to accelerate the transition to a diverse, sustainable and profitable energy economy. </w:t>
      </w:r>
      <w:hyperlink r:id="rId9" w:history="1">
        <w:r w:rsidRPr="00A94BBE">
          <w:rPr>
            <w:rStyle w:val="Hyperlink"/>
            <w:lang w:val="en-AU"/>
          </w:rPr>
          <w:t>www.ieefa.org</w:t>
        </w:r>
      </w:hyperlink>
    </w:p>
    <w:p w14:paraId="383CBD7E" w14:textId="302A7F49" w:rsidR="008E7D02" w:rsidRDefault="008E7D02" w:rsidP="009C1BA7">
      <w:pPr>
        <w:pStyle w:val="BodyText"/>
        <w:ind w:left="720"/>
        <w:rPr>
          <w:lang w:val="en-AU"/>
        </w:rPr>
      </w:pPr>
    </w:p>
    <w:p w14:paraId="6961E8C9" w14:textId="41CDE596" w:rsidR="008E7D02" w:rsidRPr="008E7D02" w:rsidRDefault="008E7D02" w:rsidP="008E7D02">
      <w:pPr>
        <w:spacing w:after="120"/>
        <w:ind w:left="720"/>
        <w:rPr>
          <w:rFonts w:ascii="Calibri" w:hAnsi="Calibri" w:cs="Calibri"/>
          <w:b/>
          <w:color w:val="08568C"/>
          <w:sz w:val="40"/>
          <w:szCs w:val="40"/>
          <w:lang w:val="en-AU"/>
        </w:rPr>
      </w:pPr>
      <w:r w:rsidRPr="008E7D02">
        <w:rPr>
          <w:rFonts w:ascii="Calibri" w:hAnsi="Calibri" w:cs="Calibri"/>
          <w:b/>
          <w:color w:val="08568C"/>
          <w:sz w:val="40"/>
          <w:szCs w:val="40"/>
          <w:lang w:val="en-AU"/>
        </w:rPr>
        <w:t>Contact</w:t>
      </w:r>
    </w:p>
    <w:p w14:paraId="58AB954F" w14:textId="77777777" w:rsidR="00AF0E95" w:rsidRPr="00504148" w:rsidRDefault="008E7D02" w:rsidP="00AF0E95">
      <w:pPr>
        <w:pStyle w:val="BodyText"/>
        <w:ind w:left="720"/>
        <w:rPr>
          <w:b/>
          <w:bCs/>
          <w:lang w:val="en-AU"/>
        </w:rPr>
      </w:pPr>
      <w:r w:rsidRPr="00504148">
        <w:rPr>
          <w:b/>
          <w:bCs/>
          <w:lang w:val="en-AU"/>
        </w:rPr>
        <w:t>Tim Buckley</w:t>
      </w:r>
    </w:p>
    <w:p w14:paraId="149C052D" w14:textId="77777777" w:rsidR="00AF0E95" w:rsidRDefault="008E7D02" w:rsidP="00AF0E95">
      <w:pPr>
        <w:pStyle w:val="BodyText"/>
        <w:ind w:left="720"/>
        <w:rPr>
          <w:lang w:val="en-AU"/>
        </w:rPr>
      </w:pPr>
      <w:r w:rsidRPr="008E7D02">
        <w:rPr>
          <w:lang w:val="en-AU"/>
        </w:rPr>
        <w:t>Director of Energy Finance Studies, Australia/South Asia</w:t>
      </w:r>
    </w:p>
    <w:p w14:paraId="6BCEF1FD" w14:textId="407F5BC6" w:rsidR="008E7D02" w:rsidRPr="008E7D02" w:rsidRDefault="008E7D02" w:rsidP="00AF0E95">
      <w:pPr>
        <w:pStyle w:val="BodyText"/>
        <w:ind w:left="720"/>
        <w:rPr>
          <w:lang w:val="en-AU"/>
        </w:rPr>
      </w:pPr>
      <w:r w:rsidRPr="008E7D02">
        <w:rPr>
          <w:lang w:val="en-AU"/>
        </w:rPr>
        <w:t>IEEFA, Sydney </w:t>
      </w:r>
      <w:hyperlink r:id="rId10" w:history="1">
        <w:r w:rsidRPr="008E7D02">
          <w:rPr>
            <w:lang w:val="en-AU"/>
          </w:rPr>
          <w:t>tbuckley@ieefa.org</w:t>
        </w:r>
      </w:hyperlink>
    </w:p>
    <w:p w14:paraId="66DB8AA8" w14:textId="77777777" w:rsidR="00504148" w:rsidRDefault="00504148" w:rsidP="009C1BA7">
      <w:pPr>
        <w:pStyle w:val="BodyText"/>
        <w:ind w:left="720"/>
        <w:rPr>
          <w:lang w:val="en-AU"/>
        </w:rPr>
      </w:pPr>
    </w:p>
    <w:p w14:paraId="6C686A8F" w14:textId="77777777" w:rsidR="00504148" w:rsidRDefault="00504148" w:rsidP="009C1BA7">
      <w:pPr>
        <w:pStyle w:val="BodyText"/>
        <w:ind w:left="720"/>
        <w:rPr>
          <w:lang w:val="en-AU"/>
        </w:rPr>
      </w:pPr>
    </w:p>
    <w:p w14:paraId="590F88FD" w14:textId="77777777" w:rsidR="00504148" w:rsidRDefault="00504148" w:rsidP="009C1BA7">
      <w:pPr>
        <w:pStyle w:val="BodyText"/>
        <w:ind w:left="720"/>
        <w:rPr>
          <w:lang w:val="en-AU"/>
        </w:rPr>
      </w:pPr>
    </w:p>
    <w:p w14:paraId="2DF44937" w14:textId="7CCCD4E0" w:rsidR="008E7D02" w:rsidRPr="00A94BBE" w:rsidRDefault="00AF0E95" w:rsidP="009C1BA7">
      <w:pPr>
        <w:pStyle w:val="BodyText"/>
        <w:ind w:left="720"/>
        <w:rPr>
          <w:lang w:val="en-AU"/>
        </w:rPr>
      </w:pPr>
      <w:r w:rsidRPr="00A94BBE">
        <w:rPr>
          <w:noProof/>
          <w:lang w:val="en-AU" w:eastAsia="en-US"/>
        </w:rPr>
        <w:drawing>
          <wp:anchor distT="0" distB="0" distL="114300" distR="114300" simplePos="0" relativeHeight="251659264" behindDoc="0" locked="0" layoutInCell="1" allowOverlap="1" wp14:anchorId="16E404CC" wp14:editId="08B2E25A">
            <wp:simplePos x="0" y="0"/>
            <wp:positionH relativeFrom="column">
              <wp:posOffset>748619</wp:posOffset>
            </wp:positionH>
            <wp:positionV relativeFrom="paragraph">
              <wp:posOffset>482587</wp:posOffset>
            </wp:positionV>
            <wp:extent cx="4400550" cy="1967230"/>
            <wp:effectExtent l="0" t="0" r="0" b="0"/>
            <wp:wrapTopAndBottom/>
            <wp:docPr id="7" name="Picture 7"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screenshot of a cell phon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4400550" cy="1967230"/>
                    </a:xfrm>
                    <a:prstGeom prst="rect">
                      <a:avLst/>
                    </a:prstGeom>
                  </pic:spPr>
                </pic:pic>
              </a:graphicData>
            </a:graphic>
            <wp14:sizeRelH relativeFrom="margin">
              <wp14:pctWidth>0</wp14:pctWidth>
            </wp14:sizeRelH>
            <wp14:sizeRelV relativeFrom="margin">
              <wp14:pctHeight>0</wp14:pctHeight>
            </wp14:sizeRelV>
          </wp:anchor>
        </w:drawing>
      </w:r>
    </w:p>
    <w:sectPr w:rsidR="008E7D02" w:rsidRPr="00A94BBE" w:rsidSect="00011F62">
      <w:headerReference w:type="even" r:id="rId12"/>
      <w:headerReference w:type="default" r:id="rId13"/>
      <w:headerReference w:type="first" r:id="rId14"/>
      <w:pgSz w:w="11900" w:h="16820"/>
      <w:pgMar w:top="2016" w:right="1152" w:bottom="1152" w:left="1152"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302972" w14:textId="77777777" w:rsidR="00BF308C" w:rsidRDefault="00BF308C" w:rsidP="004841B3">
      <w:r>
        <w:separator/>
      </w:r>
    </w:p>
  </w:endnote>
  <w:endnote w:type="continuationSeparator" w:id="0">
    <w:p w14:paraId="4F0F6191" w14:textId="77777777" w:rsidR="00BF308C" w:rsidRDefault="00BF308C" w:rsidP="00484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Body CS)">
    <w:altName w:val="Times New Roman"/>
    <w:panose1 w:val="020B06040202020202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pitch w:val="variable"/>
    <w:sig w:usb0="E0002AFF" w:usb1="C0007841" w:usb2="00000009" w:usb3="00000000" w:csb0="000001FF" w:csb1="00000000"/>
  </w:font>
  <w:font w:name="Calibri (Headings)">
    <w:altName w:val="Calibr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2B639F" w14:textId="77777777" w:rsidR="00BF308C" w:rsidRDefault="00BF308C" w:rsidP="004841B3">
      <w:r>
        <w:separator/>
      </w:r>
    </w:p>
  </w:footnote>
  <w:footnote w:type="continuationSeparator" w:id="0">
    <w:p w14:paraId="0C04F3E0" w14:textId="77777777" w:rsidR="00BF308C" w:rsidRDefault="00BF308C" w:rsidP="004841B3">
      <w:r>
        <w:continuationSeparator/>
      </w:r>
    </w:p>
  </w:footnote>
  <w:footnote w:id="1">
    <w:p w14:paraId="4DA2A1B2" w14:textId="07F6811F" w:rsidR="00956D41" w:rsidRPr="00956D41" w:rsidRDefault="00956D41">
      <w:pPr>
        <w:pStyle w:val="FootnoteText"/>
        <w:rPr>
          <w:lang w:val="en-AU"/>
        </w:rPr>
      </w:pPr>
      <w:r>
        <w:rPr>
          <w:rStyle w:val="FootnoteReference"/>
        </w:rPr>
        <w:footnoteRef/>
      </w:r>
      <w:r>
        <w:t xml:space="preserve"> </w:t>
      </w:r>
      <w:r>
        <w:rPr>
          <w:lang w:val="en-AU"/>
        </w:rPr>
        <w:t xml:space="preserve">Financial Times, </w:t>
      </w:r>
      <w:hyperlink r:id="rId1" w:history="1">
        <w:r w:rsidRPr="00956D41">
          <w:rPr>
            <w:rStyle w:val="Hyperlink"/>
            <w:lang w:val="en-AU"/>
          </w:rPr>
          <w:t>BlackRock calls on AGL to hasten closure of coal-fired plants</w:t>
        </w:r>
      </w:hyperlink>
      <w:r>
        <w:rPr>
          <w:lang w:val="en-AU"/>
        </w:rPr>
        <w:t>, 7 October 2020</w:t>
      </w:r>
    </w:p>
  </w:footnote>
  <w:footnote w:id="2">
    <w:p w14:paraId="0D02ADE9" w14:textId="77777777" w:rsidR="009676C3" w:rsidRPr="00941BD5" w:rsidRDefault="009676C3" w:rsidP="009676C3">
      <w:pPr>
        <w:pStyle w:val="FootnoteText"/>
        <w:rPr>
          <w:lang w:val="en-AU"/>
        </w:rPr>
      </w:pPr>
      <w:r>
        <w:rPr>
          <w:rStyle w:val="FootnoteReference"/>
        </w:rPr>
        <w:footnoteRef/>
      </w:r>
      <w:r>
        <w:t xml:space="preserve"> </w:t>
      </w:r>
      <w:r>
        <w:rPr>
          <w:lang w:val="en-AU"/>
        </w:rPr>
        <w:t xml:space="preserve">Renew Economy 7 Nov 2012 </w:t>
      </w:r>
      <w:hyperlink r:id="rId2" w:history="1">
        <w:r w:rsidRPr="00AD66F5">
          <w:rPr>
            <w:rStyle w:val="Hyperlink"/>
            <w:lang w:val="en-AU"/>
          </w:rPr>
          <w:t>https://reneweconomy.com.au/dumb-and-dumber-energy-choices-in-the-wild-west-64327/</w:t>
        </w:r>
      </w:hyperlink>
      <w:r>
        <w:rPr>
          <w:lang w:val="en-AU"/>
        </w:rPr>
        <w:t xml:space="preserve"> </w:t>
      </w:r>
    </w:p>
  </w:footnote>
  <w:footnote w:id="3">
    <w:p w14:paraId="5EA8BBA8" w14:textId="3AB23662" w:rsidR="0020412B" w:rsidRPr="0020412B" w:rsidRDefault="0020412B">
      <w:pPr>
        <w:pStyle w:val="FootnoteText"/>
        <w:rPr>
          <w:lang w:val="en-AU"/>
        </w:rPr>
      </w:pPr>
      <w:r>
        <w:rPr>
          <w:rStyle w:val="FootnoteReference"/>
        </w:rPr>
        <w:footnoteRef/>
      </w:r>
      <w:r>
        <w:t xml:space="preserve"> </w:t>
      </w:r>
      <w:r>
        <w:rPr>
          <w:lang w:val="en-AU"/>
        </w:rPr>
        <w:t>NREL/TP-6A20-73856, May 2020</w:t>
      </w:r>
    </w:p>
  </w:footnote>
  <w:footnote w:id="4">
    <w:p w14:paraId="09F10A25" w14:textId="77777777" w:rsidR="00AC0432" w:rsidRPr="008C1863" w:rsidRDefault="00AC0432" w:rsidP="00AC0432">
      <w:pPr>
        <w:pStyle w:val="FootnoteText"/>
        <w:rPr>
          <w:lang w:val="en-AU"/>
        </w:rPr>
      </w:pPr>
      <w:r w:rsidRPr="008C1863">
        <w:rPr>
          <w:rStyle w:val="FootnoteReference"/>
        </w:rPr>
        <w:footnoteRef/>
      </w:r>
      <w:r w:rsidRPr="008C1863">
        <w:t xml:space="preserve"> </w:t>
      </w:r>
      <w:r w:rsidRPr="008C1863">
        <w:rPr>
          <w:lang w:val="en-AU"/>
        </w:rPr>
        <w:t>IEEFA, An Aluminium-Led Energy &amp; Industry Renewal for Central Queensland, September 2020.</w:t>
      </w:r>
    </w:p>
    <w:p w14:paraId="7F1EDE84" w14:textId="77777777" w:rsidR="00AC0432" w:rsidRPr="008C1863" w:rsidRDefault="00AC0432" w:rsidP="00AC0432">
      <w:pPr>
        <w:pStyle w:val="FootnoteTex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98662426"/>
      <w:docPartObj>
        <w:docPartGallery w:val="Page Numbers (Top of Page)"/>
        <w:docPartUnique/>
      </w:docPartObj>
    </w:sdtPr>
    <w:sdtEndPr>
      <w:rPr>
        <w:rStyle w:val="PageNumber"/>
      </w:rPr>
    </w:sdtEndPr>
    <w:sdtContent>
      <w:p w14:paraId="480DD94D" w14:textId="4757F802" w:rsidR="00DF5DE6" w:rsidRDefault="00DF5DE6" w:rsidP="0085470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813BDF0" w14:textId="77777777" w:rsidR="00DF5DE6" w:rsidRDefault="00DF5DE6" w:rsidP="00DF5DE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76793" w14:textId="77777777" w:rsidR="00FC5D84" w:rsidRDefault="00FC5D84" w:rsidP="00DF5DE6">
    <w:pPr>
      <w:pStyle w:val="Header"/>
      <w:tabs>
        <w:tab w:val="clear" w:pos="4680"/>
        <w:tab w:val="clear" w:pos="9360"/>
        <w:tab w:val="center" w:pos="4968"/>
      </w:tabs>
      <w:rPr>
        <w:rStyle w:val="Strong"/>
        <w:rFonts w:asciiTheme="majorHAnsi" w:hAnsiTheme="majorHAnsi" w:cstheme="majorHAnsi"/>
      </w:rPr>
    </w:pPr>
  </w:p>
  <w:p w14:paraId="4175E6CC" w14:textId="70089E97" w:rsidR="004841B3" w:rsidRPr="000A1516" w:rsidRDefault="00DF5DE6" w:rsidP="00DF5DE6">
    <w:pPr>
      <w:pStyle w:val="Header"/>
      <w:tabs>
        <w:tab w:val="clear" w:pos="4680"/>
        <w:tab w:val="clear" w:pos="9360"/>
        <w:tab w:val="center" w:pos="4968"/>
      </w:tabs>
      <w:rPr>
        <w:rStyle w:val="Strong"/>
        <w:rFonts w:asciiTheme="majorHAnsi" w:hAnsiTheme="majorHAnsi" w:cstheme="majorHAnsi"/>
      </w:rPr>
    </w:pPr>
    <w:r w:rsidRPr="000A1516">
      <w:rPr>
        <w:rStyle w:val="Strong"/>
        <w:rFonts w:asciiTheme="majorHAnsi" w:hAnsiTheme="majorHAnsi" w:cstheme="majorHAnsi"/>
      </w:rPr>
      <w:tab/>
    </w:r>
  </w:p>
  <w:sdt>
    <w:sdtPr>
      <w:rPr>
        <w:rStyle w:val="PageNumber"/>
        <w:rFonts w:cstheme="majorHAnsi"/>
      </w:rPr>
      <w:id w:val="214161682"/>
      <w:docPartObj>
        <w:docPartGallery w:val="Page Numbers (Top of Page)"/>
        <w:docPartUnique/>
      </w:docPartObj>
    </w:sdtPr>
    <w:sdtEndPr>
      <w:rPr>
        <w:rStyle w:val="PageNumber"/>
      </w:rPr>
    </w:sdtEndPr>
    <w:sdtContent>
      <w:p w14:paraId="0D3E723B" w14:textId="4D1B7F07" w:rsidR="00D96D1B" w:rsidRPr="000A1516" w:rsidRDefault="00D96D1B" w:rsidP="00D96D1B">
        <w:pPr>
          <w:pStyle w:val="Header"/>
          <w:framePr w:wrap="none" w:vAnchor="text" w:hAnchor="page" w:x="10941" w:y="33"/>
          <w:rPr>
            <w:rStyle w:val="PageNumber"/>
            <w:rFonts w:cstheme="majorHAnsi"/>
          </w:rPr>
        </w:pPr>
        <w:r w:rsidRPr="000A1516">
          <w:rPr>
            <w:rStyle w:val="PageNumber"/>
            <w:rFonts w:cstheme="majorHAnsi"/>
          </w:rPr>
          <w:fldChar w:fldCharType="begin"/>
        </w:r>
        <w:r w:rsidRPr="000A1516">
          <w:rPr>
            <w:rStyle w:val="PageNumber"/>
            <w:rFonts w:cstheme="majorHAnsi"/>
          </w:rPr>
          <w:instrText xml:space="preserve"> PAGE </w:instrText>
        </w:r>
        <w:r w:rsidRPr="000A1516">
          <w:rPr>
            <w:rStyle w:val="PageNumber"/>
            <w:rFonts w:cstheme="majorHAnsi"/>
          </w:rPr>
          <w:fldChar w:fldCharType="separate"/>
        </w:r>
        <w:r w:rsidR="00C7688A">
          <w:rPr>
            <w:rStyle w:val="PageNumber"/>
            <w:rFonts w:cstheme="majorHAnsi"/>
            <w:noProof/>
          </w:rPr>
          <w:t>2</w:t>
        </w:r>
        <w:r w:rsidRPr="000A1516">
          <w:rPr>
            <w:rStyle w:val="PageNumber"/>
            <w:rFonts w:cstheme="majorHAnsi"/>
          </w:rPr>
          <w:fldChar w:fldCharType="end"/>
        </w:r>
      </w:p>
    </w:sdtContent>
  </w:sdt>
  <w:p w14:paraId="6C3442E6" w14:textId="6EC291B0" w:rsidR="004841B3" w:rsidRDefault="009C1BA7" w:rsidP="004841B3">
    <w:pPr>
      <w:pStyle w:val="Header"/>
    </w:pPr>
    <w:r w:rsidRPr="009C1BA7">
      <w:rPr>
        <w:rStyle w:val="Strong"/>
        <w:rFonts w:asciiTheme="majorHAnsi" w:hAnsiTheme="majorHAnsi" w:cstheme="majorHAnsi"/>
      </w:rPr>
      <w:t xml:space="preserve">IEEFA’s Response to </w:t>
    </w:r>
    <w:r w:rsidR="0003528C">
      <w:rPr>
        <w:rStyle w:val="Strong"/>
        <w:rFonts w:asciiTheme="majorHAnsi" w:hAnsiTheme="majorHAnsi" w:cstheme="majorHAnsi"/>
      </w:rPr>
      <w:t xml:space="preserve">ESB </w:t>
    </w:r>
    <w:r w:rsidRPr="009C1BA7">
      <w:rPr>
        <w:rStyle w:val="Strong"/>
        <w:rFonts w:asciiTheme="majorHAnsi" w:hAnsiTheme="majorHAnsi" w:cstheme="majorHAnsi"/>
      </w:rPr>
      <w:t>Consultation Paper</w:t>
    </w:r>
    <w:r w:rsidR="008523F9">
      <w:br/>
    </w:r>
  </w:p>
  <w:p w14:paraId="3FB10FE7" w14:textId="29416BE7" w:rsidR="008523F9" w:rsidRDefault="008523F9" w:rsidP="004841B3">
    <w:pPr>
      <w:pStyle w:val="Header"/>
    </w:pPr>
    <w:r>
      <w:rPr>
        <w:noProof/>
        <w:lang w:val="en-US" w:eastAsia="en-US"/>
      </w:rPr>
      <mc:AlternateContent>
        <mc:Choice Requires="wps">
          <w:drawing>
            <wp:anchor distT="0" distB="0" distL="114300" distR="114300" simplePos="0" relativeHeight="251661312" behindDoc="0" locked="0" layoutInCell="1" allowOverlap="1" wp14:anchorId="7482AB1E" wp14:editId="4BFD3B8E">
              <wp:simplePos x="0" y="0"/>
              <wp:positionH relativeFrom="margin">
                <wp:posOffset>0</wp:posOffset>
              </wp:positionH>
              <wp:positionV relativeFrom="paragraph">
                <wp:posOffset>-635</wp:posOffset>
              </wp:positionV>
              <wp:extent cx="6323965" cy="0"/>
              <wp:effectExtent l="0" t="12700" r="13335" b="12700"/>
              <wp:wrapNone/>
              <wp:docPr id="5" name="Straight Connector 5"/>
              <wp:cNvGraphicFramePr/>
              <a:graphic xmlns:a="http://schemas.openxmlformats.org/drawingml/2006/main">
                <a:graphicData uri="http://schemas.microsoft.com/office/word/2010/wordprocessingShape">
                  <wps:wsp>
                    <wps:cNvCnPr/>
                    <wps:spPr>
                      <a:xfrm>
                        <a:off x="0" y="0"/>
                        <a:ext cx="6323965" cy="0"/>
                      </a:xfrm>
                      <a:prstGeom prst="line">
                        <a:avLst/>
                      </a:prstGeom>
                      <a:ln w="22225">
                        <a:solidFill>
                          <a:srgbClr val="0856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A46E0E"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497.95pt,-.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" strokecolor="#08568c" strokeweight="1.75pt">
              <w10:wrap anchorx="margin"/>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31987057"/>
      <w:docPartObj>
        <w:docPartGallery w:val="Page Numbers (Top of Page)"/>
        <w:docPartUnique/>
      </w:docPartObj>
    </w:sdtPr>
    <w:sdtEndPr>
      <w:rPr>
        <w:rStyle w:val="PageNumber"/>
      </w:rPr>
    </w:sdtEndPr>
    <w:sdtContent>
      <w:p w14:paraId="17C36023" w14:textId="6A8835AE" w:rsidR="00DF5DE6" w:rsidRDefault="00DF5DE6" w:rsidP="0085470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7688A">
          <w:rPr>
            <w:rStyle w:val="PageNumber"/>
            <w:noProof/>
          </w:rPr>
          <w:t>1</w:t>
        </w:r>
        <w:r>
          <w:rPr>
            <w:rStyle w:val="PageNumber"/>
          </w:rPr>
          <w:fldChar w:fldCharType="end"/>
        </w:r>
      </w:p>
    </w:sdtContent>
  </w:sdt>
  <w:p w14:paraId="32557DBA" w14:textId="21DD844A" w:rsidR="00AF0E95" w:rsidRDefault="00DF5DE6" w:rsidP="00AF0E95">
    <w:pPr>
      <w:pStyle w:val="Header"/>
      <w:ind w:right="360"/>
      <w:rPr>
        <w:rStyle w:val="Strong"/>
        <w:rFonts w:asciiTheme="majorHAnsi" w:hAnsiTheme="majorHAnsi" w:cstheme="majorHAnsi"/>
      </w:rPr>
    </w:pPr>
    <w:r w:rsidRPr="00851083">
      <w:rPr>
        <w:rFonts w:asciiTheme="majorHAnsi" w:hAnsiTheme="majorHAnsi" w:cstheme="majorHAnsi"/>
        <w:noProof/>
        <w:lang w:val="en-US" w:eastAsia="en-US"/>
      </w:rPr>
      <w:drawing>
        <wp:anchor distT="0" distB="0" distL="114300" distR="114300" simplePos="0" relativeHeight="251663360" behindDoc="0" locked="0" layoutInCell="1" allowOverlap="1" wp14:anchorId="576F17FB" wp14:editId="2C8260AF">
          <wp:simplePos x="0" y="0"/>
          <wp:positionH relativeFrom="margin">
            <wp:align>right</wp:align>
          </wp:positionH>
          <wp:positionV relativeFrom="topMargin">
            <wp:posOffset>284671</wp:posOffset>
          </wp:positionV>
          <wp:extent cx="2613847" cy="532353"/>
          <wp:effectExtent l="0" t="0" r="0"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EEFA logo sm.jp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613847" cy="5323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F0E95" w:rsidRPr="00AF0E95">
      <w:rPr>
        <w:rStyle w:val="Strong"/>
        <w:rFonts w:asciiTheme="majorHAnsi" w:hAnsiTheme="majorHAnsi" w:cstheme="majorHAnsi"/>
      </w:rPr>
      <w:t xml:space="preserve">IEEFA’s Response to </w:t>
    </w:r>
    <w:r w:rsidR="00AF0E95">
      <w:rPr>
        <w:rStyle w:val="Strong"/>
        <w:rFonts w:asciiTheme="majorHAnsi" w:hAnsiTheme="majorHAnsi" w:cstheme="majorHAnsi"/>
      </w:rPr>
      <w:t xml:space="preserve">ESB </w:t>
    </w:r>
    <w:r w:rsidR="00AF0E95" w:rsidRPr="00AF0E95">
      <w:rPr>
        <w:rStyle w:val="Strong"/>
        <w:rFonts w:asciiTheme="majorHAnsi" w:hAnsiTheme="majorHAnsi" w:cstheme="majorHAnsi"/>
      </w:rPr>
      <w:t>Consultation Paper</w:t>
    </w:r>
  </w:p>
  <w:p w14:paraId="09F7F995" w14:textId="7BD19531" w:rsidR="00DF5DE6" w:rsidRDefault="000C715E" w:rsidP="00DF5DE6">
    <w:pPr>
      <w:pStyle w:val="Header"/>
    </w:pPr>
    <w:r>
      <w:rPr>
        <w:rFonts w:asciiTheme="majorHAnsi" w:hAnsiTheme="majorHAnsi" w:cstheme="majorHAnsi"/>
      </w:rPr>
      <w:t>19</w:t>
    </w:r>
    <w:r w:rsidR="00CA2C05">
      <w:rPr>
        <w:rFonts w:asciiTheme="majorHAnsi" w:hAnsiTheme="majorHAnsi" w:cstheme="majorHAnsi"/>
      </w:rPr>
      <w:t xml:space="preserve"> </w:t>
    </w:r>
    <w:r>
      <w:rPr>
        <w:rFonts w:asciiTheme="majorHAnsi" w:hAnsiTheme="majorHAnsi" w:cstheme="majorHAnsi"/>
      </w:rPr>
      <w:t>October</w:t>
    </w:r>
    <w:r w:rsidR="00CA2C05">
      <w:rPr>
        <w:rFonts w:asciiTheme="majorHAnsi" w:hAnsiTheme="majorHAnsi" w:cstheme="majorHAnsi"/>
      </w:rPr>
      <w:t xml:space="preserve"> 2020</w:t>
    </w:r>
    <w:r w:rsidR="00DF5DE6">
      <w:br/>
    </w:r>
  </w:p>
  <w:p w14:paraId="1193940D" w14:textId="17222363" w:rsidR="00DF5DE6" w:rsidRDefault="00DF5DE6">
    <w:pPr>
      <w:pStyle w:val="Header"/>
    </w:pPr>
    <w:r>
      <w:rPr>
        <w:noProof/>
        <w:lang w:val="en-US" w:eastAsia="en-US"/>
      </w:rPr>
      <mc:AlternateContent>
        <mc:Choice Requires="wps">
          <w:drawing>
            <wp:anchor distT="0" distB="0" distL="114300" distR="114300" simplePos="0" relativeHeight="251664384" behindDoc="0" locked="0" layoutInCell="1" allowOverlap="1" wp14:anchorId="4D2FC2A1" wp14:editId="6BDFD21F">
              <wp:simplePos x="0" y="0"/>
              <wp:positionH relativeFrom="margin">
                <wp:posOffset>0</wp:posOffset>
              </wp:positionH>
              <wp:positionV relativeFrom="paragraph">
                <wp:posOffset>-635</wp:posOffset>
              </wp:positionV>
              <wp:extent cx="6323965" cy="0"/>
              <wp:effectExtent l="0" t="12700" r="13335" b="12700"/>
              <wp:wrapNone/>
              <wp:docPr id="10" name="Straight Connector 10"/>
              <wp:cNvGraphicFramePr/>
              <a:graphic xmlns:a="http://schemas.openxmlformats.org/drawingml/2006/main">
                <a:graphicData uri="http://schemas.microsoft.com/office/word/2010/wordprocessingShape">
                  <wps:wsp>
                    <wps:cNvCnPr/>
                    <wps:spPr>
                      <a:xfrm>
                        <a:off x="0" y="0"/>
                        <a:ext cx="6323965" cy="0"/>
                      </a:xfrm>
                      <a:prstGeom prst="line">
                        <a:avLst/>
                      </a:prstGeom>
                      <a:ln w="22225">
                        <a:solidFill>
                          <a:srgbClr val="0856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C12D63" id="Straight Connector 10"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497.95pt,-.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" strokecolor="#08568c" strokeweight="1.75pt">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A1490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D38805E"/>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BBAE81C8"/>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1B087A40"/>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DBA83DC6"/>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27D8D3A2"/>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4E209022"/>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4AADB2C"/>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BA02692"/>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39CA70B8"/>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F10CEE6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0C6EF7"/>
    <w:multiLevelType w:val="hybridMultilevel"/>
    <w:tmpl w:val="924E5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D01486"/>
    <w:multiLevelType w:val="hybridMultilevel"/>
    <w:tmpl w:val="3B28C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0C5C48"/>
    <w:multiLevelType w:val="hybridMultilevel"/>
    <w:tmpl w:val="A4B0A758"/>
    <w:lvl w:ilvl="0" w:tplc="EE087038">
      <w:start w:val="1"/>
      <w:numFmt w:val="bullet"/>
      <w:lvlText w:val="-"/>
      <w:lvlJc w:val="left"/>
      <w:pPr>
        <w:ind w:left="720" w:hanging="360"/>
      </w:pPr>
      <w:rPr>
        <w:rFonts w:ascii="Cambria" w:eastAsiaTheme="minorHAnsi" w:hAnsi="Cambri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766ECF"/>
    <w:multiLevelType w:val="hybridMultilevel"/>
    <w:tmpl w:val="8716D864"/>
    <w:lvl w:ilvl="0" w:tplc="01764C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4A370B"/>
    <w:multiLevelType w:val="hybridMultilevel"/>
    <w:tmpl w:val="852A34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9174F9"/>
    <w:multiLevelType w:val="hybridMultilevel"/>
    <w:tmpl w:val="B058C5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0"/>
  </w:num>
  <w:num w:numId="13">
    <w:abstractNumId w:val="10"/>
  </w:num>
  <w:num w:numId="14">
    <w:abstractNumId w:val="10"/>
  </w:num>
  <w:num w:numId="15">
    <w:abstractNumId w:val="11"/>
  </w:num>
  <w:num w:numId="16">
    <w:abstractNumId w:val="14"/>
  </w:num>
  <w:num w:numId="17">
    <w:abstractNumId w:val="10"/>
  </w:num>
  <w:num w:numId="18">
    <w:abstractNumId w:val="12"/>
  </w:num>
  <w:num w:numId="19">
    <w:abstractNumId w:val="15"/>
  </w:num>
  <w:num w:numId="20">
    <w:abstractNumId w:val="1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5A4"/>
    <w:rsid w:val="0000145B"/>
    <w:rsid w:val="00011F62"/>
    <w:rsid w:val="00013B02"/>
    <w:rsid w:val="000215BE"/>
    <w:rsid w:val="000336A4"/>
    <w:rsid w:val="0003528C"/>
    <w:rsid w:val="00036A46"/>
    <w:rsid w:val="0003788C"/>
    <w:rsid w:val="00043537"/>
    <w:rsid w:val="00074ABB"/>
    <w:rsid w:val="00086027"/>
    <w:rsid w:val="000A1516"/>
    <w:rsid w:val="000C715E"/>
    <w:rsid w:val="000E4F96"/>
    <w:rsid w:val="00123269"/>
    <w:rsid w:val="00144F3E"/>
    <w:rsid w:val="001557C2"/>
    <w:rsid w:val="0016108B"/>
    <w:rsid w:val="00191B97"/>
    <w:rsid w:val="001D6A77"/>
    <w:rsid w:val="001E49F6"/>
    <w:rsid w:val="001F488F"/>
    <w:rsid w:val="001F5B24"/>
    <w:rsid w:val="0020412B"/>
    <w:rsid w:val="00213D37"/>
    <w:rsid w:val="00221ABD"/>
    <w:rsid w:val="0025789E"/>
    <w:rsid w:val="00274292"/>
    <w:rsid w:val="0028508B"/>
    <w:rsid w:val="00286E8C"/>
    <w:rsid w:val="002F1B61"/>
    <w:rsid w:val="002F6897"/>
    <w:rsid w:val="003008A0"/>
    <w:rsid w:val="00323EF0"/>
    <w:rsid w:val="00375735"/>
    <w:rsid w:val="0037629D"/>
    <w:rsid w:val="00386E16"/>
    <w:rsid w:val="003A0B53"/>
    <w:rsid w:val="003A0CBF"/>
    <w:rsid w:val="003D4115"/>
    <w:rsid w:val="003D56F1"/>
    <w:rsid w:val="003D5EB8"/>
    <w:rsid w:val="003E0F4F"/>
    <w:rsid w:val="003E7B86"/>
    <w:rsid w:val="003F5819"/>
    <w:rsid w:val="00422519"/>
    <w:rsid w:val="004340FE"/>
    <w:rsid w:val="00457AD9"/>
    <w:rsid w:val="00474752"/>
    <w:rsid w:val="00483C95"/>
    <w:rsid w:val="004841B3"/>
    <w:rsid w:val="00487AB1"/>
    <w:rsid w:val="004A695F"/>
    <w:rsid w:val="004A7285"/>
    <w:rsid w:val="004B4862"/>
    <w:rsid w:val="004F272E"/>
    <w:rsid w:val="00504148"/>
    <w:rsid w:val="00510C35"/>
    <w:rsid w:val="00512710"/>
    <w:rsid w:val="00564622"/>
    <w:rsid w:val="00566FAF"/>
    <w:rsid w:val="0057056B"/>
    <w:rsid w:val="00585D07"/>
    <w:rsid w:val="005B1F9E"/>
    <w:rsid w:val="005B6A38"/>
    <w:rsid w:val="005D165B"/>
    <w:rsid w:val="005E18BC"/>
    <w:rsid w:val="005E2318"/>
    <w:rsid w:val="005E50FC"/>
    <w:rsid w:val="005E52D6"/>
    <w:rsid w:val="006103E6"/>
    <w:rsid w:val="006109C1"/>
    <w:rsid w:val="0063781C"/>
    <w:rsid w:val="00646952"/>
    <w:rsid w:val="00662913"/>
    <w:rsid w:val="00683459"/>
    <w:rsid w:val="00692F65"/>
    <w:rsid w:val="00695721"/>
    <w:rsid w:val="006A7429"/>
    <w:rsid w:val="006B5681"/>
    <w:rsid w:val="006C4B99"/>
    <w:rsid w:val="00721F85"/>
    <w:rsid w:val="0072276C"/>
    <w:rsid w:val="00740523"/>
    <w:rsid w:val="007559F1"/>
    <w:rsid w:val="00764327"/>
    <w:rsid w:val="00766C72"/>
    <w:rsid w:val="007B6EC4"/>
    <w:rsid w:val="007D6106"/>
    <w:rsid w:val="007E37AF"/>
    <w:rsid w:val="007F4E69"/>
    <w:rsid w:val="00804B19"/>
    <w:rsid w:val="00804CD3"/>
    <w:rsid w:val="0081531A"/>
    <w:rsid w:val="008237F8"/>
    <w:rsid w:val="00824671"/>
    <w:rsid w:val="008325F0"/>
    <w:rsid w:val="00835080"/>
    <w:rsid w:val="00851083"/>
    <w:rsid w:val="008523F9"/>
    <w:rsid w:val="008615A4"/>
    <w:rsid w:val="00864FB8"/>
    <w:rsid w:val="008758A0"/>
    <w:rsid w:val="00875DA6"/>
    <w:rsid w:val="0088386A"/>
    <w:rsid w:val="008A115D"/>
    <w:rsid w:val="008C1863"/>
    <w:rsid w:val="008D20C9"/>
    <w:rsid w:val="008E7D02"/>
    <w:rsid w:val="008F065B"/>
    <w:rsid w:val="00906E2A"/>
    <w:rsid w:val="00917CDB"/>
    <w:rsid w:val="009309B7"/>
    <w:rsid w:val="0094031D"/>
    <w:rsid w:val="00947898"/>
    <w:rsid w:val="00956D41"/>
    <w:rsid w:val="00962664"/>
    <w:rsid w:val="009676C3"/>
    <w:rsid w:val="00967A11"/>
    <w:rsid w:val="009827B4"/>
    <w:rsid w:val="00990870"/>
    <w:rsid w:val="009A1ACB"/>
    <w:rsid w:val="009A5862"/>
    <w:rsid w:val="009A6593"/>
    <w:rsid w:val="009A7D8D"/>
    <w:rsid w:val="009B2154"/>
    <w:rsid w:val="009C1BA7"/>
    <w:rsid w:val="009C3FC6"/>
    <w:rsid w:val="009D675B"/>
    <w:rsid w:val="009D6FFB"/>
    <w:rsid w:val="009F32E5"/>
    <w:rsid w:val="00A018B2"/>
    <w:rsid w:val="00A02EF9"/>
    <w:rsid w:val="00A306DF"/>
    <w:rsid w:val="00A33AA3"/>
    <w:rsid w:val="00A4174C"/>
    <w:rsid w:val="00A51237"/>
    <w:rsid w:val="00A65FDD"/>
    <w:rsid w:val="00A849A8"/>
    <w:rsid w:val="00A94BBE"/>
    <w:rsid w:val="00A96781"/>
    <w:rsid w:val="00AA7B0C"/>
    <w:rsid w:val="00AC0432"/>
    <w:rsid w:val="00AC23CF"/>
    <w:rsid w:val="00AC54D7"/>
    <w:rsid w:val="00AE6462"/>
    <w:rsid w:val="00AF0E95"/>
    <w:rsid w:val="00B35EA1"/>
    <w:rsid w:val="00B36DD1"/>
    <w:rsid w:val="00B46E30"/>
    <w:rsid w:val="00B54636"/>
    <w:rsid w:val="00B61C36"/>
    <w:rsid w:val="00B664A3"/>
    <w:rsid w:val="00B778BA"/>
    <w:rsid w:val="00B871C0"/>
    <w:rsid w:val="00BA3F5C"/>
    <w:rsid w:val="00BF0877"/>
    <w:rsid w:val="00BF29B2"/>
    <w:rsid w:val="00BF308C"/>
    <w:rsid w:val="00C16846"/>
    <w:rsid w:val="00C373B8"/>
    <w:rsid w:val="00C50BC8"/>
    <w:rsid w:val="00C73DA1"/>
    <w:rsid w:val="00C7688A"/>
    <w:rsid w:val="00C86298"/>
    <w:rsid w:val="00CA2C05"/>
    <w:rsid w:val="00CA525C"/>
    <w:rsid w:val="00CB1987"/>
    <w:rsid w:val="00CB5305"/>
    <w:rsid w:val="00CC2D3D"/>
    <w:rsid w:val="00CD2563"/>
    <w:rsid w:val="00CE201A"/>
    <w:rsid w:val="00D25CB7"/>
    <w:rsid w:val="00D34579"/>
    <w:rsid w:val="00D36F5D"/>
    <w:rsid w:val="00D50727"/>
    <w:rsid w:val="00D61A0A"/>
    <w:rsid w:val="00D92FBA"/>
    <w:rsid w:val="00D96D1B"/>
    <w:rsid w:val="00DA6934"/>
    <w:rsid w:val="00DB4F17"/>
    <w:rsid w:val="00DC3AEC"/>
    <w:rsid w:val="00DC6748"/>
    <w:rsid w:val="00DD2F2C"/>
    <w:rsid w:val="00DD51A6"/>
    <w:rsid w:val="00DE0179"/>
    <w:rsid w:val="00DF56B5"/>
    <w:rsid w:val="00DF5B1F"/>
    <w:rsid w:val="00DF5DE6"/>
    <w:rsid w:val="00E077AE"/>
    <w:rsid w:val="00E101DE"/>
    <w:rsid w:val="00E21F7F"/>
    <w:rsid w:val="00E33CFD"/>
    <w:rsid w:val="00E401E8"/>
    <w:rsid w:val="00E45BEE"/>
    <w:rsid w:val="00E54241"/>
    <w:rsid w:val="00E64EB1"/>
    <w:rsid w:val="00E95037"/>
    <w:rsid w:val="00EF5EB2"/>
    <w:rsid w:val="00EF6E8A"/>
    <w:rsid w:val="00F0311F"/>
    <w:rsid w:val="00F315FD"/>
    <w:rsid w:val="00F5560A"/>
    <w:rsid w:val="00F95F99"/>
    <w:rsid w:val="00FC5D84"/>
    <w:rsid w:val="00FD6F8C"/>
    <w:rsid w:val="00FF011E"/>
    <w:rsid w:val="00FF040C"/>
    <w:rsid w:val="00FF3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31C9C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429"/>
    <w:pPr>
      <w:snapToGrid w:val="0"/>
    </w:pPr>
    <w:rPr>
      <w:rFonts w:eastAsiaTheme="minorEastAsia" w:cs="Times New Roman (Body CS)"/>
      <w:sz w:val="22"/>
      <w:lang w:eastAsia="en-GB"/>
    </w:rPr>
  </w:style>
  <w:style w:type="paragraph" w:styleId="Heading1">
    <w:name w:val="heading 1"/>
    <w:link w:val="Heading1Char"/>
    <w:uiPriority w:val="9"/>
    <w:qFormat/>
    <w:rsid w:val="006A7429"/>
    <w:pPr>
      <w:keepNext/>
      <w:keepLines/>
      <w:snapToGrid w:val="0"/>
      <w:spacing w:before="320" w:after="120" w:line="440" w:lineRule="exact"/>
      <w:ind w:right="2016"/>
      <w:outlineLvl w:val="0"/>
    </w:pPr>
    <w:rPr>
      <w:rFonts w:asciiTheme="majorHAnsi" w:eastAsiaTheme="majorEastAsia" w:hAnsiTheme="majorHAnsi" w:cs="Times New Roman (Headings CS)"/>
      <w:b/>
      <w:color w:val="08568C" w:themeColor="accent1"/>
      <w:sz w:val="36"/>
      <w:szCs w:val="32"/>
      <w:lang w:eastAsia="en-GB"/>
    </w:rPr>
  </w:style>
  <w:style w:type="paragraph" w:styleId="Heading2">
    <w:name w:val="heading 2"/>
    <w:link w:val="Heading2Char"/>
    <w:uiPriority w:val="9"/>
    <w:unhideWhenUsed/>
    <w:qFormat/>
    <w:rsid w:val="006A7429"/>
    <w:pPr>
      <w:snapToGrid w:val="0"/>
      <w:spacing w:before="40" w:after="120" w:line="360" w:lineRule="exact"/>
      <w:ind w:right="2016"/>
      <w:outlineLvl w:val="1"/>
    </w:pPr>
    <w:rPr>
      <w:rFonts w:asciiTheme="majorHAnsi" w:eastAsiaTheme="majorEastAsia" w:hAnsiTheme="majorHAnsi" w:cs="Times New Roman (Headings CS)"/>
      <w:i/>
      <w:color w:val="08568C" w:themeColor="accent1"/>
      <w:sz w:val="32"/>
      <w:szCs w:val="26"/>
      <w:lang w:eastAsia="en-GB"/>
    </w:rPr>
  </w:style>
  <w:style w:type="paragraph" w:styleId="Heading3">
    <w:name w:val="heading 3"/>
    <w:basedOn w:val="Heading1"/>
    <w:link w:val="Heading3Char"/>
    <w:uiPriority w:val="9"/>
    <w:semiHidden/>
    <w:unhideWhenUsed/>
    <w:qFormat/>
    <w:rsid w:val="00CB1987"/>
    <w:pPr>
      <w:spacing w:line="360" w:lineRule="exact"/>
      <w:outlineLvl w:val="2"/>
    </w:pPr>
    <w:rPr>
      <w:color w:val="5F5F5F" w:themeColor="text2"/>
      <w:sz w:val="30"/>
      <w:szCs w:val="24"/>
    </w:rPr>
  </w:style>
  <w:style w:type="paragraph" w:styleId="Heading4">
    <w:name w:val="heading 4"/>
    <w:basedOn w:val="Heading2"/>
    <w:link w:val="Heading4Char"/>
    <w:uiPriority w:val="9"/>
    <w:semiHidden/>
    <w:unhideWhenUsed/>
    <w:qFormat/>
    <w:rsid w:val="007B6EC4"/>
    <w:pPr>
      <w:spacing w:line="320" w:lineRule="exact"/>
      <w:outlineLvl w:val="3"/>
    </w:pPr>
    <w:rPr>
      <w:iCs/>
      <w:color w:val="5F5F5F" w:themeColor="text2"/>
      <w:sz w:val="28"/>
    </w:rPr>
  </w:style>
  <w:style w:type="paragraph" w:styleId="Heading5">
    <w:name w:val="heading 5"/>
    <w:basedOn w:val="Heading3"/>
    <w:link w:val="Heading5Char"/>
    <w:uiPriority w:val="9"/>
    <w:semiHidden/>
    <w:unhideWhenUsed/>
    <w:qFormat/>
    <w:rsid w:val="00CB1987"/>
    <w:pPr>
      <w:spacing w:line="320" w:lineRule="exact"/>
      <w:outlineLvl w:val="4"/>
    </w:pPr>
    <w:rPr>
      <w:color w:val="08568C" w:themeColor="accent1"/>
      <w:sz w:val="26"/>
    </w:rPr>
  </w:style>
  <w:style w:type="paragraph" w:styleId="Heading6">
    <w:name w:val="heading 6"/>
    <w:basedOn w:val="Heading4"/>
    <w:link w:val="Heading6Char"/>
    <w:uiPriority w:val="9"/>
    <w:semiHidden/>
    <w:unhideWhenUsed/>
    <w:qFormat/>
    <w:rsid w:val="007B6EC4"/>
    <w:pPr>
      <w:spacing w:line="280" w:lineRule="exact"/>
      <w:outlineLvl w:val="5"/>
    </w:pPr>
    <w:rPr>
      <w:color w:val="0856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unhideWhenUsed/>
    <w:qFormat/>
    <w:rsid w:val="006A7429"/>
    <w:pPr>
      <w:spacing w:after="220"/>
      <w:ind w:right="2016"/>
    </w:pPr>
    <w:rPr>
      <w:szCs w:val="22"/>
    </w:rPr>
  </w:style>
  <w:style w:type="character" w:customStyle="1" w:styleId="BodyTextChar">
    <w:name w:val="Body Text Char"/>
    <w:basedOn w:val="DefaultParagraphFont"/>
    <w:link w:val="BodyText"/>
    <w:uiPriority w:val="1"/>
    <w:rsid w:val="006A7429"/>
    <w:rPr>
      <w:rFonts w:cs="Times New Roman (Body CS)"/>
      <w:sz w:val="22"/>
      <w:szCs w:val="22"/>
      <w:lang w:eastAsia="en-GB"/>
    </w:rPr>
  </w:style>
  <w:style w:type="character" w:customStyle="1" w:styleId="Heading6Char">
    <w:name w:val="Heading 6 Char"/>
    <w:basedOn w:val="DefaultParagraphFont"/>
    <w:link w:val="Heading6"/>
    <w:uiPriority w:val="9"/>
    <w:semiHidden/>
    <w:rsid w:val="007B6EC4"/>
    <w:rPr>
      <w:rFonts w:asciiTheme="majorHAnsi" w:eastAsiaTheme="majorEastAsia" w:hAnsiTheme="majorHAnsi" w:cs="Times New Roman (Headings CS)"/>
      <w:i/>
      <w:iCs/>
      <w:color w:val="08568C" w:themeColor="accent1"/>
      <w:szCs w:val="26"/>
      <w:lang w:eastAsia="en-GB"/>
    </w:rPr>
  </w:style>
  <w:style w:type="paragraph" w:styleId="Title">
    <w:name w:val="Title"/>
    <w:basedOn w:val="Normal"/>
    <w:next w:val="Normal"/>
    <w:link w:val="TitleChar"/>
    <w:uiPriority w:val="10"/>
    <w:qFormat/>
    <w:rsid w:val="007B6EC4"/>
    <w:pPr>
      <w:spacing w:line="560" w:lineRule="exact"/>
      <w:ind w:right="2016"/>
    </w:pPr>
    <w:rPr>
      <w:rFonts w:asciiTheme="majorHAnsi" w:eastAsiaTheme="majorEastAsia" w:hAnsiTheme="majorHAnsi" w:cs="Times New Roman (Headings CS)"/>
      <w:b/>
      <w:color w:val="08568C" w:themeColor="accent1"/>
      <w:sz w:val="52"/>
      <w:szCs w:val="56"/>
    </w:rPr>
  </w:style>
  <w:style w:type="character" w:customStyle="1" w:styleId="TitleChar">
    <w:name w:val="Title Char"/>
    <w:basedOn w:val="DefaultParagraphFont"/>
    <w:link w:val="Title"/>
    <w:uiPriority w:val="10"/>
    <w:rsid w:val="007B6EC4"/>
    <w:rPr>
      <w:rFonts w:asciiTheme="majorHAnsi" w:eastAsiaTheme="majorEastAsia" w:hAnsiTheme="majorHAnsi" w:cs="Times New Roman (Headings CS)"/>
      <w:b/>
      <w:color w:val="08568C" w:themeColor="accent1"/>
      <w:sz w:val="52"/>
      <w:szCs w:val="56"/>
      <w:lang w:eastAsia="en-GB"/>
    </w:rPr>
  </w:style>
  <w:style w:type="character" w:styleId="Emphasis">
    <w:name w:val="Emphasis"/>
    <w:basedOn w:val="DefaultParagraphFont"/>
    <w:uiPriority w:val="20"/>
    <w:rsid w:val="00BA3F5C"/>
    <w:rPr>
      <w:i/>
      <w:iCs/>
    </w:rPr>
  </w:style>
  <w:style w:type="character" w:styleId="Strong">
    <w:name w:val="Strong"/>
    <w:basedOn w:val="DefaultParagraphFont"/>
    <w:uiPriority w:val="22"/>
    <w:qFormat/>
    <w:rsid w:val="007B6EC4"/>
    <w:rPr>
      <w:b/>
      <w:bCs/>
    </w:rPr>
  </w:style>
  <w:style w:type="paragraph" w:styleId="ListBullet">
    <w:name w:val="List Bullet"/>
    <w:basedOn w:val="ListBullet2"/>
    <w:uiPriority w:val="99"/>
    <w:unhideWhenUsed/>
    <w:qFormat/>
    <w:rsid w:val="003A0CBF"/>
    <w:pPr>
      <w:tabs>
        <w:tab w:val="clear" w:pos="720"/>
      </w:tabs>
      <w:ind w:left="360"/>
    </w:pPr>
  </w:style>
  <w:style w:type="character" w:customStyle="1" w:styleId="Heading1Char">
    <w:name w:val="Heading 1 Char"/>
    <w:basedOn w:val="DefaultParagraphFont"/>
    <w:link w:val="Heading1"/>
    <w:uiPriority w:val="9"/>
    <w:rsid w:val="006A7429"/>
    <w:rPr>
      <w:rFonts w:asciiTheme="majorHAnsi" w:eastAsiaTheme="majorEastAsia" w:hAnsiTheme="majorHAnsi" w:cs="Times New Roman (Headings CS)"/>
      <w:b/>
      <w:color w:val="08568C" w:themeColor="accent1"/>
      <w:sz w:val="36"/>
      <w:szCs w:val="32"/>
      <w:lang w:eastAsia="en-GB"/>
    </w:rPr>
  </w:style>
  <w:style w:type="character" w:customStyle="1" w:styleId="Heading2Char">
    <w:name w:val="Heading 2 Char"/>
    <w:basedOn w:val="DefaultParagraphFont"/>
    <w:link w:val="Heading2"/>
    <w:uiPriority w:val="9"/>
    <w:rsid w:val="006A7429"/>
    <w:rPr>
      <w:rFonts w:asciiTheme="majorHAnsi" w:eastAsiaTheme="majorEastAsia" w:hAnsiTheme="majorHAnsi" w:cs="Times New Roman (Headings CS)"/>
      <w:i/>
      <w:color w:val="08568C" w:themeColor="accent1"/>
      <w:sz w:val="32"/>
      <w:szCs w:val="26"/>
      <w:lang w:eastAsia="en-GB"/>
    </w:rPr>
  </w:style>
  <w:style w:type="character" w:customStyle="1" w:styleId="Heading3Char">
    <w:name w:val="Heading 3 Char"/>
    <w:basedOn w:val="DefaultParagraphFont"/>
    <w:link w:val="Heading3"/>
    <w:uiPriority w:val="9"/>
    <w:semiHidden/>
    <w:rsid w:val="00CB1987"/>
    <w:rPr>
      <w:rFonts w:asciiTheme="majorHAnsi" w:eastAsiaTheme="majorEastAsia" w:hAnsiTheme="majorHAnsi" w:cs="Times New Roman (Headings CS)"/>
      <w:b/>
      <w:color w:val="5F5F5F" w:themeColor="text2"/>
      <w:sz w:val="30"/>
      <w:lang w:eastAsia="en-GB"/>
    </w:rPr>
  </w:style>
  <w:style w:type="character" w:customStyle="1" w:styleId="Heading4Char">
    <w:name w:val="Heading 4 Char"/>
    <w:basedOn w:val="DefaultParagraphFont"/>
    <w:link w:val="Heading4"/>
    <w:uiPriority w:val="9"/>
    <w:semiHidden/>
    <w:rsid w:val="007B6EC4"/>
    <w:rPr>
      <w:rFonts w:asciiTheme="majorHAnsi" w:eastAsiaTheme="majorEastAsia" w:hAnsiTheme="majorHAnsi" w:cs="Times New Roman (Headings CS)"/>
      <w:i/>
      <w:iCs/>
      <w:color w:val="5F5F5F" w:themeColor="text2"/>
      <w:sz w:val="28"/>
      <w:szCs w:val="26"/>
      <w:lang w:eastAsia="en-GB"/>
    </w:rPr>
  </w:style>
  <w:style w:type="character" w:customStyle="1" w:styleId="Heading5Char">
    <w:name w:val="Heading 5 Char"/>
    <w:basedOn w:val="DefaultParagraphFont"/>
    <w:link w:val="Heading5"/>
    <w:uiPriority w:val="9"/>
    <w:semiHidden/>
    <w:rsid w:val="00CB1987"/>
    <w:rPr>
      <w:rFonts w:asciiTheme="majorHAnsi" w:eastAsiaTheme="majorEastAsia" w:hAnsiTheme="majorHAnsi" w:cs="Times New Roman (Headings CS)"/>
      <w:b/>
      <w:color w:val="08568C" w:themeColor="accent1"/>
      <w:sz w:val="26"/>
      <w:lang w:eastAsia="en-GB"/>
    </w:rPr>
  </w:style>
  <w:style w:type="paragraph" w:styleId="FootnoteText">
    <w:name w:val="footnote text"/>
    <w:link w:val="FootnoteTextChar"/>
    <w:uiPriority w:val="99"/>
    <w:semiHidden/>
    <w:unhideWhenUsed/>
    <w:qFormat/>
    <w:rsid w:val="007B6EC4"/>
    <w:pPr>
      <w:ind w:right="2016"/>
    </w:pPr>
    <w:rPr>
      <w:rFonts w:eastAsiaTheme="majorEastAsia" w:cs="Times New Roman (Headings CS)"/>
      <w:color w:val="000000" w:themeColor="text1"/>
      <w:sz w:val="19"/>
      <w:szCs w:val="22"/>
      <w:lang w:eastAsia="en-GB"/>
    </w:rPr>
  </w:style>
  <w:style w:type="character" w:customStyle="1" w:styleId="FootnoteTextChar">
    <w:name w:val="Footnote Text Char"/>
    <w:basedOn w:val="DefaultParagraphFont"/>
    <w:link w:val="FootnoteText"/>
    <w:uiPriority w:val="99"/>
    <w:semiHidden/>
    <w:rsid w:val="007B6EC4"/>
    <w:rPr>
      <w:rFonts w:eastAsiaTheme="majorEastAsia" w:cs="Times New Roman (Headings CS)"/>
      <w:color w:val="000000" w:themeColor="text1"/>
      <w:sz w:val="19"/>
      <w:szCs w:val="22"/>
      <w:lang w:eastAsia="en-GB"/>
    </w:rPr>
  </w:style>
  <w:style w:type="paragraph" w:styleId="Footer">
    <w:name w:val="footer"/>
    <w:basedOn w:val="Heading1"/>
    <w:link w:val="FooterChar"/>
    <w:uiPriority w:val="99"/>
    <w:unhideWhenUsed/>
    <w:qFormat/>
    <w:rsid w:val="007B6EC4"/>
    <w:pPr>
      <w:tabs>
        <w:tab w:val="center" w:pos="4680"/>
        <w:tab w:val="right" w:pos="9360"/>
      </w:tabs>
      <w:spacing w:before="0" w:after="0"/>
    </w:pPr>
    <w:rPr>
      <w:rFonts w:cstheme="majorBidi"/>
      <w:color w:val="000000" w:themeColor="text1"/>
      <w:sz w:val="22"/>
    </w:rPr>
  </w:style>
  <w:style w:type="character" w:customStyle="1" w:styleId="FooterChar">
    <w:name w:val="Footer Char"/>
    <w:basedOn w:val="DefaultParagraphFont"/>
    <w:link w:val="Footer"/>
    <w:uiPriority w:val="99"/>
    <w:rsid w:val="007B6EC4"/>
    <w:rPr>
      <w:rFonts w:asciiTheme="majorHAnsi" w:eastAsiaTheme="majorEastAsia" w:hAnsiTheme="majorHAnsi" w:cstheme="majorBidi"/>
      <w:b/>
      <w:color w:val="000000" w:themeColor="text1"/>
      <w:sz w:val="22"/>
      <w:szCs w:val="32"/>
      <w:lang w:eastAsia="en-GB"/>
    </w:rPr>
  </w:style>
  <w:style w:type="character" w:styleId="PageNumber">
    <w:name w:val="page number"/>
    <w:basedOn w:val="BodyTextChar"/>
    <w:uiPriority w:val="99"/>
    <w:unhideWhenUsed/>
    <w:qFormat/>
    <w:rsid w:val="007B6EC4"/>
    <w:rPr>
      <w:rFonts w:asciiTheme="majorHAnsi" w:hAnsiTheme="majorHAnsi" w:cs="Times New Roman (Body CS)"/>
      <w:b w:val="0"/>
      <w:color w:val="auto"/>
      <w:sz w:val="20"/>
      <w:szCs w:val="22"/>
      <w:lang w:eastAsia="en-GB"/>
    </w:rPr>
  </w:style>
  <w:style w:type="character" w:styleId="Hyperlink">
    <w:name w:val="Hyperlink"/>
    <w:basedOn w:val="DefaultParagraphFont"/>
    <w:uiPriority w:val="99"/>
    <w:unhideWhenUsed/>
    <w:qFormat/>
    <w:rsid w:val="007B6EC4"/>
    <w:rPr>
      <w:color w:val="08568C" w:themeColor="accent1"/>
      <w:u w:val="none"/>
    </w:rPr>
  </w:style>
  <w:style w:type="character" w:styleId="FollowedHyperlink">
    <w:name w:val="FollowedHyperlink"/>
    <w:basedOn w:val="DefaultParagraphFont"/>
    <w:uiPriority w:val="99"/>
    <w:semiHidden/>
    <w:unhideWhenUsed/>
    <w:qFormat/>
    <w:rsid w:val="007B6EC4"/>
    <w:rPr>
      <w:b w:val="0"/>
      <w:color w:val="08568C" w:themeColor="accent1"/>
      <w:u w:val="none"/>
    </w:rPr>
  </w:style>
  <w:style w:type="paragraph" w:styleId="TOCHeading">
    <w:name w:val="TOC Heading"/>
    <w:basedOn w:val="Heading1"/>
    <w:next w:val="Heading1"/>
    <w:uiPriority w:val="39"/>
    <w:unhideWhenUsed/>
    <w:qFormat/>
    <w:rsid w:val="00E401E8"/>
    <w:pPr>
      <w:pBdr>
        <w:top w:val="single" w:sz="4" w:space="4" w:color="BFBFBF"/>
        <w:left w:val="single" w:sz="4" w:space="4" w:color="BFBFBF"/>
        <w:bottom w:val="single" w:sz="4" w:space="5" w:color="BFBFBF"/>
        <w:right w:val="single" w:sz="4" w:space="4" w:color="BFBFBF"/>
      </w:pBdr>
      <w:shd w:val="clear" w:color="auto" w:fill="08568C" w:themeFill="accent1"/>
      <w:tabs>
        <w:tab w:val="right" w:pos="7920"/>
      </w:tabs>
      <w:spacing w:before="0" w:after="0"/>
      <w:ind w:left="144"/>
      <w:outlineLvl w:val="9"/>
    </w:pPr>
    <w:rPr>
      <w:color w:val="E5EEF6" w:themeColor="accent4" w:themeTint="33"/>
      <w:sz w:val="32"/>
    </w:rPr>
  </w:style>
  <w:style w:type="paragraph" w:styleId="Subtitle">
    <w:name w:val="Subtitle"/>
    <w:basedOn w:val="Normal"/>
    <w:next w:val="Normal"/>
    <w:link w:val="SubtitleChar"/>
    <w:uiPriority w:val="11"/>
    <w:rsid w:val="004340FE"/>
    <w:pPr>
      <w:numPr>
        <w:ilvl w:val="1"/>
      </w:numPr>
      <w:spacing w:before="40" w:line="440" w:lineRule="exact"/>
      <w:ind w:right="2016"/>
    </w:pPr>
    <w:rPr>
      <w:rFonts w:asciiTheme="majorHAnsi" w:hAnsiTheme="majorHAnsi"/>
      <w:i/>
      <w:color w:val="08568C" w:themeColor="accent1"/>
      <w:sz w:val="40"/>
      <w:szCs w:val="22"/>
    </w:rPr>
  </w:style>
  <w:style w:type="character" w:customStyle="1" w:styleId="SubtitleChar">
    <w:name w:val="Subtitle Char"/>
    <w:basedOn w:val="DefaultParagraphFont"/>
    <w:link w:val="Subtitle"/>
    <w:uiPriority w:val="11"/>
    <w:rsid w:val="004340FE"/>
    <w:rPr>
      <w:rFonts w:asciiTheme="majorHAnsi" w:eastAsiaTheme="minorEastAsia" w:hAnsiTheme="majorHAnsi" w:cs="Times New Roman (Body CS)"/>
      <w:i/>
      <w:color w:val="08568C" w:themeColor="accent1"/>
      <w:sz w:val="40"/>
      <w:szCs w:val="22"/>
      <w:lang w:eastAsia="en-GB"/>
    </w:rPr>
  </w:style>
  <w:style w:type="paragraph" w:styleId="Header">
    <w:name w:val="header"/>
    <w:basedOn w:val="Normal"/>
    <w:link w:val="HeaderChar"/>
    <w:uiPriority w:val="99"/>
    <w:unhideWhenUsed/>
    <w:rsid w:val="004841B3"/>
    <w:pPr>
      <w:tabs>
        <w:tab w:val="center" w:pos="4680"/>
        <w:tab w:val="right" w:pos="9360"/>
      </w:tabs>
    </w:pPr>
  </w:style>
  <w:style w:type="character" w:customStyle="1" w:styleId="HeaderChar">
    <w:name w:val="Header Char"/>
    <w:basedOn w:val="DefaultParagraphFont"/>
    <w:link w:val="Header"/>
    <w:uiPriority w:val="99"/>
    <w:rsid w:val="004841B3"/>
    <w:rPr>
      <w:rFonts w:cs="Times New Roman (Body CS)"/>
      <w:sz w:val="22"/>
      <w:lang w:eastAsia="en-GB"/>
    </w:rPr>
  </w:style>
  <w:style w:type="character" w:styleId="FootnoteReference">
    <w:name w:val="footnote reference"/>
    <w:basedOn w:val="DefaultParagraphFont"/>
    <w:uiPriority w:val="99"/>
    <w:semiHidden/>
    <w:unhideWhenUsed/>
    <w:rsid w:val="0094031D"/>
    <w:rPr>
      <w:vertAlign w:val="superscript"/>
    </w:rPr>
  </w:style>
  <w:style w:type="character" w:customStyle="1" w:styleId="UnresolvedMention1">
    <w:name w:val="Unresolved Mention1"/>
    <w:basedOn w:val="DefaultParagraphFont"/>
    <w:uiPriority w:val="99"/>
    <w:rsid w:val="00906E2A"/>
    <w:rPr>
      <w:color w:val="605E5C"/>
      <w:shd w:val="clear" w:color="auto" w:fill="E1DFDD"/>
    </w:rPr>
  </w:style>
  <w:style w:type="paragraph" w:customStyle="1" w:styleId="FigureTitle">
    <w:name w:val="Figure Title"/>
    <w:qFormat/>
    <w:rsid w:val="005E18BC"/>
    <w:pPr>
      <w:snapToGrid w:val="0"/>
      <w:spacing w:before="280" w:after="40"/>
      <w:ind w:right="2016"/>
    </w:pPr>
    <w:rPr>
      <w:rFonts w:asciiTheme="majorHAnsi" w:hAnsiTheme="majorHAnsi" w:cs="Calibri (Headings)"/>
      <w:b/>
      <w:color w:val="000000" w:themeColor="text1"/>
      <w:sz w:val="26"/>
      <w:lang w:eastAsia="en-GB"/>
    </w:rPr>
  </w:style>
  <w:style w:type="paragraph" w:customStyle="1" w:styleId="FigureSource">
    <w:name w:val="Figure Source"/>
    <w:link w:val="FigureSourceChar"/>
    <w:qFormat/>
    <w:rsid w:val="00D34579"/>
    <w:pPr>
      <w:spacing w:before="20" w:after="280"/>
      <w:ind w:right="2016"/>
    </w:pPr>
    <w:rPr>
      <w:rFonts w:asciiTheme="majorHAnsi" w:hAnsiTheme="majorHAnsi" w:cstheme="majorHAnsi"/>
      <w:i/>
      <w:color w:val="000000" w:themeColor="text1"/>
      <w:sz w:val="20"/>
      <w:szCs w:val="20"/>
      <w:lang w:eastAsia="en-GB"/>
    </w:rPr>
  </w:style>
  <w:style w:type="paragraph" w:styleId="ListParagraph">
    <w:name w:val="List Paragraph"/>
    <w:basedOn w:val="Normal"/>
    <w:uiPriority w:val="34"/>
    <w:qFormat/>
    <w:rsid w:val="007B6EC4"/>
    <w:pPr>
      <w:ind w:left="720"/>
    </w:pPr>
  </w:style>
  <w:style w:type="character" w:customStyle="1" w:styleId="FigureSourceChar">
    <w:name w:val="Figure Source Char"/>
    <w:basedOn w:val="DefaultParagraphFont"/>
    <w:link w:val="FigureSource"/>
    <w:rsid w:val="00D34579"/>
    <w:rPr>
      <w:rFonts w:asciiTheme="majorHAnsi" w:hAnsiTheme="majorHAnsi" w:cstheme="majorHAnsi"/>
      <w:i/>
      <w:color w:val="000000" w:themeColor="text1"/>
      <w:sz w:val="20"/>
      <w:szCs w:val="20"/>
      <w:lang w:eastAsia="en-GB"/>
    </w:rPr>
  </w:style>
  <w:style w:type="paragraph" w:customStyle="1" w:styleId="PullQuote">
    <w:name w:val="Pull Quote"/>
    <w:qFormat/>
    <w:rsid w:val="007B6EC4"/>
    <w:pPr>
      <w:spacing w:before="320" w:after="320"/>
      <w:jc w:val="center"/>
    </w:pPr>
    <w:rPr>
      <w:rFonts w:asciiTheme="majorHAnsi" w:hAnsiTheme="majorHAnsi" w:cs="Times New Roman (Body CS)"/>
      <w:b/>
      <w:color w:val="08568C" w:themeColor="accent1"/>
      <w:sz w:val="28"/>
      <w:szCs w:val="28"/>
      <w:lang w:eastAsia="en-GB"/>
    </w:rPr>
  </w:style>
  <w:style w:type="paragraph" w:customStyle="1" w:styleId="Authors">
    <w:name w:val="Authors"/>
    <w:basedOn w:val="Normal"/>
    <w:qFormat/>
    <w:rsid w:val="007B6EC4"/>
    <w:pPr>
      <w:ind w:right="2016"/>
    </w:pPr>
    <w:rPr>
      <w:rFonts w:asciiTheme="majorHAnsi" w:hAnsiTheme="majorHAnsi" w:cstheme="majorHAnsi"/>
      <w:b/>
      <w:color w:val="000000" w:themeColor="text1"/>
      <w:sz w:val="32"/>
      <w:szCs w:val="32"/>
    </w:rPr>
  </w:style>
  <w:style w:type="paragraph" w:styleId="TOC1">
    <w:name w:val="toc 1"/>
    <w:basedOn w:val="BodyText"/>
    <w:next w:val="Normal"/>
    <w:autoRedefine/>
    <w:uiPriority w:val="39"/>
    <w:unhideWhenUsed/>
    <w:rsid w:val="00E401E8"/>
    <w:pPr>
      <w:pBdr>
        <w:top w:val="single" w:sz="4" w:space="8" w:color="BFBFBF"/>
        <w:left w:val="single" w:sz="4" w:space="4" w:color="BFBFBF"/>
        <w:bottom w:val="single" w:sz="4" w:space="8" w:color="BFBFBF"/>
        <w:right w:val="single" w:sz="4" w:space="4" w:color="BFBFBF"/>
      </w:pBdr>
      <w:shd w:val="clear" w:color="auto" w:fill="D9D9D9"/>
      <w:tabs>
        <w:tab w:val="right" w:leader="dot" w:pos="7920"/>
      </w:tabs>
      <w:spacing w:after="120"/>
      <w:ind w:left="144"/>
    </w:pPr>
    <w:rPr>
      <w:bCs/>
      <w:sz w:val="24"/>
    </w:rPr>
  </w:style>
  <w:style w:type="paragraph" w:styleId="TOC2">
    <w:name w:val="toc 2"/>
    <w:basedOn w:val="TOC1"/>
    <w:next w:val="Normal"/>
    <w:autoRedefine/>
    <w:uiPriority w:val="39"/>
    <w:unhideWhenUsed/>
    <w:rsid w:val="00566FAF"/>
    <w:pPr>
      <w:spacing w:before="240" w:after="0"/>
    </w:pPr>
    <w:rPr>
      <w:bCs w:val="0"/>
      <w:sz w:val="20"/>
      <w:szCs w:val="20"/>
    </w:rPr>
  </w:style>
  <w:style w:type="paragraph" w:styleId="TOC3">
    <w:name w:val="toc 3"/>
    <w:basedOn w:val="Normal"/>
    <w:next w:val="Normal"/>
    <w:autoRedefine/>
    <w:uiPriority w:val="39"/>
    <w:unhideWhenUsed/>
    <w:rsid w:val="006C4B99"/>
    <w:pPr>
      <w:ind w:left="220"/>
    </w:pPr>
    <w:rPr>
      <w:sz w:val="20"/>
      <w:szCs w:val="20"/>
    </w:rPr>
  </w:style>
  <w:style w:type="paragraph" w:styleId="TOC4">
    <w:name w:val="toc 4"/>
    <w:basedOn w:val="Normal"/>
    <w:next w:val="Normal"/>
    <w:autoRedefine/>
    <w:uiPriority w:val="39"/>
    <w:unhideWhenUsed/>
    <w:rsid w:val="006C4B99"/>
    <w:pPr>
      <w:ind w:left="440"/>
    </w:pPr>
    <w:rPr>
      <w:sz w:val="20"/>
      <w:szCs w:val="20"/>
    </w:rPr>
  </w:style>
  <w:style w:type="paragraph" w:styleId="TOC5">
    <w:name w:val="toc 5"/>
    <w:basedOn w:val="Normal"/>
    <w:next w:val="Normal"/>
    <w:autoRedefine/>
    <w:uiPriority w:val="39"/>
    <w:unhideWhenUsed/>
    <w:rsid w:val="006C4B99"/>
    <w:pPr>
      <w:ind w:left="660"/>
    </w:pPr>
    <w:rPr>
      <w:sz w:val="20"/>
      <w:szCs w:val="20"/>
    </w:rPr>
  </w:style>
  <w:style w:type="paragraph" w:styleId="TOC6">
    <w:name w:val="toc 6"/>
    <w:basedOn w:val="Normal"/>
    <w:next w:val="Normal"/>
    <w:autoRedefine/>
    <w:uiPriority w:val="39"/>
    <w:unhideWhenUsed/>
    <w:rsid w:val="006C4B99"/>
    <w:pPr>
      <w:ind w:left="880"/>
    </w:pPr>
    <w:rPr>
      <w:sz w:val="20"/>
      <w:szCs w:val="20"/>
    </w:rPr>
  </w:style>
  <w:style w:type="paragraph" w:styleId="TOC7">
    <w:name w:val="toc 7"/>
    <w:basedOn w:val="Normal"/>
    <w:next w:val="Normal"/>
    <w:autoRedefine/>
    <w:uiPriority w:val="39"/>
    <w:unhideWhenUsed/>
    <w:rsid w:val="006C4B99"/>
    <w:pPr>
      <w:ind w:left="1100"/>
    </w:pPr>
    <w:rPr>
      <w:sz w:val="20"/>
      <w:szCs w:val="20"/>
    </w:rPr>
  </w:style>
  <w:style w:type="paragraph" w:styleId="TOC8">
    <w:name w:val="toc 8"/>
    <w:basedOn w:val="Normal"/>
    <w:next w:val="Normal"/>
    <w:autoRedefine/>
    <w:uiPriority w:val="39"/>
    <w:unhideWhenUsed/>
    <w:rsid w:val="006C4B99"/>
    <w:pPr>
      <w:ind w:left="1320"/>
    </w:pPr>
    <w:rPr>
      <w:sz w:val="20"/>
      <w:szCs w:val="20"/>
    </w:rPr>
  </w:style>
  <w:style w:type="paragraph" w:styleId="TOC9">
    <w:name w:val="toc 9"/>
    <w:basedOn w:val="Normal"/>
    <w:next w:val="Normal"/>
    <w:autoRedefine/>
    <w:uiPriority w:val="39"/>
    <w:unhideWhenUsed/>
    <w:rsid w:val="006C4B99"/>
    <w:pPr>
      <w:ind w:left="1540"/>
    </w:pPr>
    <w:rPr>
      <w:sz w:val="20"/>
      <w:szCs w:val="20"/>
    </w:rPr>
  </w:style>
  <w:style w:type="paragraph" w:styleId="TableofFigures">
    <w:name w:val="table of figures"/>
    <w:basedOn w:val="TOC1"/>
    <w:next w:val="Normal"/>
    <w:uiPriority w:val="99"/>
    <w:unhideWhenUsed/>
    <w:rsid w:val="008758A0"/>
  </w:style>
  <w:style w:type="paragraph" w:styleId="ListBullet2">
    <w:name w:val="List Bullet 2"/>
    <w:basedOn w:val="BodyText"/>
    <w:uiPriority w:val="99"/>
    <w:unhideWhenUsed/>
    <w:rsid w:val="001F5B24"/>
    <w:pPr>
      <w:numPr>
        <w:numId w:val="10"/>
      </w:numPr>
    </w:pPr>
  </w:style>
  <w:style w:type="paragraph" w:styleId="ListBullet3">
    <w:name w:val="List Bullet 3"/>
    <w:basedOn w:val="BodyText"/>
    <w:uiPriority w:val="99"/>
    <w:semiHidden/>
    <w:unhideWhenUsed/>
    <w:rsid w:val="001F5B24"/>
    <w:pPr>
      <w:numPr>
        <w:numId w:val="9"/>
      </w:numPr>
    </w:pPr>
  </w:style>
  <w:style w:type="paragraph" w:styleId="ListBullet4">
    <w:name w:val="List Bullet 4"/>
    <w:basedOn w:val="BodyText"/>
    <w:uiPriority w:val="99"/>
    <w:semiHidden/>
    <w:unhideWhenUsed/>
    <w:rsid w:val="001F5B24"/>
    <w:pPr>
      <w:numPr>
        <w:numId w:val="8"/>
      </w:numPr>
    </w:pPr>
  </w:style>
  <w:style w:type="paragraph" w:styleId="ListBullet5">
    <w:name w:val="List Bullet 5"/>
    <w:basedOn w:val="BodyText"/>
    <w:uiPriority w:val="99"/>
    <w:semiHidden/>
    <w:unhideWhenUsed/>
    <w:rsid w:val="001F5B24"/>
    <w:pPr>
      <w:numPr>
        <w:numId w:val="7"/>
      </w:numPr>
    </w:pPr>
  </w:style>
  <w:style w:type="paragraph" w:styleId="ListContinue">
    <w:name w:val="List Continue"/>
    <w:basedOn w:val="BodyText"/>
    <w:uiPriority w:val="99"/>
    <w:semiHidden/>
    <w:unhideWhenUsed/>
    <w:rsid w:val="001F5B24"/>
    <w:pPr>
      <w:spacing w:after="120"/>
      <w:ind w:left="360"/>
    </w:pPr>
  </w:style>
  <w:style w:type="paragraph" w:styleId="ListContinue2">
    <w:name w:val="List Continue 2"/>
    <w:basedOn w:val="BodyText"/>
    <w:uiPriority w:val="99"/>
    <w:semiHidden/>
    <w:unhideWhenUsed/>
    <w:rsid w:val="001F5B24"/>
    <w:pPr>
      <w:spacing w:after="120"/>
      <w:ind w:left="720"/>
    </w:pPr>
  </w:style>
  <w:style w:type="paragraph" w:styleId="ListContinue3">
    <w:name w:val="List Continue 3"/>
    <w:basedOn w:val="BodyText"/>
    <w:uiPriority w:val="99"/>
    <w:semiHidden/>
    <w:unhideWhenUsed/>
    <w:rsid w:val="001F5B24"/>
    <w:pPr>
      <w:spacing w:after="120"/>
      <w:ind w:left="1080"/>
    </w:pPr>
  </w:style>
  <w:style w:type="paragraph" w:styleId="ListContinue4">
    <w:name w:val="List Continue 4"/>
    <w:basedOn w:val="BodyText"/>
    <w:uiPriority w:val="99"/>
    <w:semiHidden/>
    <w:unhideWhenUsed/>
    <w:rsid w:val="001F5B24"/>
    <w:pPr>
      <w:spacing w:after="120"/>
      <w:ind w:left="1440"/>
    </w:pPr>
  </w:style>
  <w:style w:type="paragraph" w:styleId="ListContinue5">
    <w:name w:val="List Continue 5"/>
    <w:basedOn w:val="BodyText"/>
    <w:uiPriority w:val="99"/>
    <w:semiHidden/>
    <w:unhideWhenUsed/>
    <w:rsid w:val="001F5B24"/>
    <w:pPr>
      <w:spacing w:after="120"/>
      <w:ind w:left="1800"/>
    </w:pPr>
  </w:style>
  <w:style w:type="paragraph" w:styleId="ListNumber">
    <w:name w:val="List Number"/>
    <w:basedOn w:val="BodyText"/>
    <w:uiPriority w:val="99"/>
    <w:semiHidden/>
    <w:unhideWhenUsed/>
    <w:rsid w:val="001F5B24"/>
    <w:pPr>
      <w:numPr>
        <w:numId w:val="6"/>
      </w:numPr>
    </w:pPr>
  </w:style>
  <w:style w:type="paragraph" w:styleId="ListNumber2">
    <w:name w:val="List Number 2"/>
    <w:basedOn w:val="BodyText"/>
    <w:uiPriority w:val="99"/>
    <w:semiHidden/>
    <w:unhideWhenUsed/>
    <w:rsid w:val="001F5B24"/>
    <w:pPr>
      <w:numPr>
        <w:numId w:val="5"/>
      </w:numPr>
    </w:pPr>
  </w:style>
  <w:style w:type="paragraph" w:styleId="ListNumber3">
    <w:name w:val="List Number 3"/>
    <w:basedOn w:val="BodyText"/>
    <w:uiPriority w:val="99"/>
    <w:semiHidden/>
    <w:unhideWhenUsed/>
    <w:rsid w:val="001F5B24"/>
    <w:pPr>
      <w:numPr>
        <w:numId w:val="4"/>
      </w:numPr>
    </w:pPr>
  </w:style>
  <w:style w:type="paragraph" w:styleId="ListNumber4">
    <w:name w:val="List Number 4"/>
    <w:basedOn w:val="BodyText"/>
    <w:uiPriority w:val="99"/>
    <w:semiHidden/>
    <w:unhideWhenUsed/>
    <w:rsid w:val="001F5B24"/>
    <w:pPr>
      <w:numPr>
        <w:numId w:val="3"/>
      </w:numPr>
    </w:pPr>
  </w:style>
  <w:style w:type="paragraph" w:styleId="ListNumber5">
    <w:name w:val="List Number 5"/>
    <w:basedOn w:val="BodyText"/>
    <w:uiPriority w:val="99"/>
    <w:semiHidden/>
    <w:unhideWhenUsed/>
    <w:rsid w:val="001F5B24"/>
    <w:pPr>
      <w:numPr>
        <w:numId w:val="2"/>
      </w:numPr>
    </w:pPr>
  </w:style>
  <w:style w:type="paragraph" w:customStyle="1" w:styleId="Default">
    <w:name w:val="Default"/>
    <w:rsid w:val="00CA2C05"/>
    <w:pPr>
      <w:autoSpaceDE w:val="0"/>
      <w:autoSpaceDN w:val="0"/>
      <w:adjustRightInd w:val="0"/>
    </w:pPr>
    <w:rPr>
      <w:rFonts w:ascii="Calibri" w:hAnsi="Calibri" w:cs="Calibri"/>
      <w:color w:val="000000"/>
    </w:rPr>
  </w:style>
  <w:style w:type="paragraph" w:styleId="BalloonText">
    <w:name w:val="Balloon Text"/>
    <w:basedOn w:val="Normal"/>
    <w:link w:val="BalloonTextChar"/>
    <w:uiPriority w:val="99"/>
    <w:semiHidden/>
    <w:unhideWhenUsed/>
    <w:rsid w:val="009C1BA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C1BA7"/>
    <w:rPr>
      <w:rFonts w:ascii="Times New Roman" w:hAnsi="Times New Roman" w:cs="Times New Roman"/>
      <w:sz w:val="18"/>
      <w:szCs w:val="18"/>
      <w:lang w:eastAsia="en-GB"/>
    </w:rPr>
  </w:style>
  <w:style w:type="character" w:styleId="UnresolvedMention">
    <w:name w:val="Unresolved Mention"/>
    <w:basedOn w:val="DefaultParagraphFont"/>
    <w:uiPriority w:val="99"/>
    <w:semiHidden/>
    <w:unhideWhenUsed/>
    <w:rsid w:val="009C1BA7"/>
    <w:rPr>
      <w:color w:val="605E5C"/>
      <w:shd w:val="clear" w:color="auto" w:fill="E1DFDD"/>
    </w:rPr>
  </w:style>
  <w:style w:type="character" w:styleId="CommentReference">
    <w:name w:val="annotation reference"/>
    <w:basedOn w:val="DefaultParagraphFont"/>
    <w:uiPriority w:val="99"/>
    <w:semiHidden/>
    <w:unhideWhenUsed/>
    <w:rsid w:val="00A94BBE"/>
    <w:rPr>
      <w:sz w:val="16"/>
      <w:szCs w:val="16"/>
    </w:rPr>
  </w:style>
  <w:style w:type="paragraph" w:styleId="CommentText">
    <w:name w:val="annotation text"/>
    <w:basedOn w:val="Normal"/>
    <w:link w:val="CommentTextChar"/>
    <w:uiPriority w:val="99"/>
    <w:semiHidden/>
    <w:unhideWhenUsed/>
    <w:rsid w:val="00A94BBE"/>
    <w:rPr>
      <w:sz w:val="20"/>
      <w:szCs w:val="20"/>
    </w:rPr>
  </w:style>
  <w:style w:type="character" w:customStyle="1" w:styleId="CommentTextChar">
    <w:name w:val="Comment Text Char"/>
    <w:basedOn w:val="DefaultParagraphFont"/>
    <w:link w:val="CommentText"/>
    <w:uiPriority w:val="99"/>
    <w:semiHidden/>
    <w:rsid w:val="00A94BBE"/>
    <w:rPr>
      <w:rFonts w:cs="Times New Roman (Body CS)"/>
      <w:sz w:val="20"/>
      <w:szCs w:val="20"/>
      <w:lang w:eastAsia="en-GB"/>
    </w:rPr>
  </w:style>
  <w:style w:type="paragraph" w:styleId="CommentSubject">
    <w:name w:val="annotation subject"/>
    <w:basedOn w:val="CommentText"/>
    <w:next w:val="CommentText"/>
    <w:link w:val="CommentSubjectChar"/>
    <w:uiPriority w:val="99"/>
    <w:semiHidden/>
    <w:unhideWhenUsed/>
    <w:rsid w:val="00A94BBE"/>
    <w:rPr>
      <w:b/>
      <w:bCs/>
    </w:rPr>
  </w:style>
  <w:style w:type="character" w:customStyle="1" w:styleId="CommentSubjectChar">
    <w:name w:val="Comment Subject Char"/>
    <w:basedOn w:val="CommentTextChar"/>
    <w:link w:val="CommentSubject"/>
    <w:uiPriority w:val="99"/>
    <w:semiHidden/>
    <w:rsid w:val="00A94BBE"/>
    <w:rPr>
      <w:rFonts w:cs="Times New Roman (Body CS)"/>
      <w:b/>
      <w:bCs/>
      <w:sz w:val="20"/>
      <w:szCs w:val="20"/>
      <w:lang w:eastAsia="en-GB"/>
    </w:rPr>
  </w:style>
  <w:style w:type="character" w:customStyle="1" w:styleId="apple-converted-space">
    <w:name w:val="apple-converted-space"/>
    <w:basedOn w:val="DefaultParagraphFont"/>
    <w:rsid w:val="008E7D02"/>
  </w:style>
  <w:style w:type="paragraph" w:styleId="NormalWeb">
    <w:name w:val="Normal (Web)"/>
    <w:basedOn w:val="Normal"/>
    <w:uiPriority w:val="99"/>
    <w:semiHidden/>
    <w:unhideWhenUsed/>
    <w:rsid w:val="008C1863"/>
    <w:rPr>
      <w:rFonts w:ascii="Times New Roman" w:hAnsi="Times New Roman" w:cs="Times New Roman"/>
      <w:sz w:val="24"/>
    </w:rPr>
  </w:style>
  <w:style w:type="paragraph" w:styleId="Revision">
    <w:name w:val="Revision"/>
    <w:hidden/>
    <w:uiPriority w:val="99"/>
    <w:semiHidden/>
    <w:rsid w:val="00692F65"/>
    <w:rPr>
      <w:rFonts w:eastAsiaTheme="minorEastAsia" w:cs="Times New Roman (Body CS)"/>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399195">
      <w:bodyDiv w:val="1"/>
      <w:marLeft w:val="0"/>
      <w:marRight w:val="0"/>
      <w:marTop w:val="0"/>
      <w:marBottom w:val="0"/>
      <w:divBdr>
        <w:top w:val="none" w:sz="0" w:space="0" w:color="auto"/>
        <w:left w:val="none" w:sz="0" w:space="0" w:color="auto"/>
        <w:bottom w:val="none" w:sz="0" w:space="0" w:color="auto"/>
        <w:right w:val="none" w:sz="0" w:space="0" w:color="auto"/>
      </w:divBdr>
    </w:div>
    <w:div w:id="469442752">
      <w:bodyDiv w:val="1"/>
      <w:marLeft w:val="0"/>
      <w:marRight w:val="0"/>
      <w:marTop w:val="0"/>
      <w:marBottom w:val="0"/>
      <w:divBdr>
        <w:top w:val="none" w:sz="0" w:space="0" w:color="auto"/>
        <w:left w:val="none" w:sz="0" w:space="0" w:color="auto"/>
        <w:bottom w:val="none" w:sz="0" w:space="0" w:color="auto"/>
        <w:right w:val="none" w:sz="0" w:space="0" w:color="auto"/>
      </w:divBdr>
    </w:div>
    <w:div w:id="1473598593">
      <w:bodyDiv w:val="1"/>
      <w:marLeft w:val="0"/>
      <w:marRight w:val="0"/>
      <w:marTop w:val="0"/>
      <w:marBottom w:val="0"/>
      <w:divBdr>
        <w:top w:val="none" w:sz="0" w:space="0" w:color="auto"/>
        <w:left w:val="none" w:sz="0" w:space="0" w:color="auto"/>
        <w:bottom w:val="none" w:sz="0" w:space="0" w:color="auto"/>
        <w:right w:val="none" w:sz="0" w:space="0" w:color="auto"/>
      </w:divBdr>
    </w:div>
    <w:div w:id="1558316047">
      <w:bodyDiv w:val="1"/>
      <w:marLeft w:val="0"/>
      <w:marRight w:val="0"/>
      <w:marTop w:val="0"/>
      <w:marBottom w:val="0"/>
      <w:divBdr>
        <w:top w:val="none" w:sz="0" w:space="0" w:color="auto"/>
        <w:left w:val="none" w:sz="0" w:space="0" w:color="auto"/>
        <w:bottom w:val="none" w:sz="0" w:space="0" w:color="auto"/>
        <w:right w:val="none" w:sz="0" w:space="0" w:color="auto"/>
      </w:divBdr>
      <w:divsChild>
        <w:div w:id="583298462">
          <w:marLeft w:val="0"/>
          <w:marRight w:val="0"/>
          <w:marTop w:val="0"/>
          <w:marBottom w:val="0"/>
          <w:divBdr>
            <w:top w:val="none" w:sz="0" w:space="0" w:color="auto"/>
            <w:left w:val="none" w:sz="0" w:space="0" w:color="auto"/>
            <w:bottom w:val="none" w:sz="0" w:space="0" w:color="auto"/>
            <w:right w:val="none" w:sz="0" w:space="0" w:color="auto"/>
          </w:divBdr>
          <w:divsChild>
            <w:div w:id="1845584940">
              <w:marLeft w:val="0"/>
              <w:marRight w:val="0"/>
              <w:marTop w:val="0"/>
              <w:marBottom w:val="0"/>
              <w:divBdr>
                <w:top w:val="none" w:sz="0" w:space="0" w:color="auto"/>
                <w:left w:val="none" w:sz="0" w:space="0" w:color="auto"/>
                <w:bottom w:val="none" w:sz="0" w:space="0" w:color="auto"/>
                <w:right w:val="none" w:sz="0" w:space="0" w:color="auto"/>
              </w:divBdr>
              <w:divsChild>
                <w:div w:id="168685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efa.org/" TargetMode="Externa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buckley@ieefa.org"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ieefa.org"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reneweconomy.com.au/dumb-and-dumber-energy-choices-in-the-wild-west-64327/" TargetMode="External"/><Relationship Id="rId1" Type="http://schemas.openxmlformats.org/officeDocument/2006/relationships/hyperlink" Target="https://www.ft.com/content/db83caa8-a558-4d40-8ce3-09da0f243124"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EEFA_Sept2018">
  <a:themeElements>
    <a:clrScheme name="IEEFA-Aug18">
      <a:dk1>
        <a:srgbClr val="000000"/>
      </a:dk1>
      <a:lt1>
        <a:srgbClr val="FFFFFF"/>
      </a:lt1>
      <a:dk2>
        <a:srgbClr val="5F5F5F"/>
      </a:dk2>
      <a:lt2>
        <a:srgbClr val="F3E8D3"/>
      </a:lt2>
      <a:accent1>
        <a:srgbClr val="08568C"/>
      </a:accent1>
      <a:accent2>
        <a:srgbClr val="E4C753"/>
      </a:accent2>
      <a:accent3>
        <a:srgbClr val="86AF6B"/>
      </a:accent3>
      <a:accent4>
        <a:srgbClr val="80ACD3"/>
      </a:accent4>
      <a:accent5>
        <a:srgbClr val="E39C41"/>
      </a:accent5>
      <a:accent6>
        <a:srgbClr val="D96650"/>
      </a:accent6>
      <a:hlink>
        <a:srgbClr val="10578A"/>
      </a:hlink>
      <a:folHlink>
        <a:srgbClr val="10578A"/>
      </a:folHlink>
    </a:clrScheme>
    <a:fontScheme name="Calibri-Cambria">
      <a:majorFont>
        <a:latin typeface="Calibri" panose="020F0502020204030204"/>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IEEFA_new_(standard)" id="{83677272-739F-A945-B366-B55235ADA3ED}" vid="{688F017D-36D5-A748-83F9-21F075E257A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B7A678-2319-564A-A49F-30FAE8F7B4C3}">
  <ds:schemaRefs>
    <ds:schemaRef ds:uri="http://schemas.openxmlformats.org/officeDocument/2006/bibliography"/>
  </ds:schemaRefs>
</ds:datastoreItem>
</file>

<file path=customXml/itemProps2.xml><?xml version="1.0" encoding="utf-8"?>
<ds:datastoreItem xmlns:ds="http://schemas.openxmlformats.org/officeDocument/2006/customXml" ds:itemID="{861BA66C-1399-441F-ADF8-3D127EC954F5}"/>
</file>

<file path=customXml/itemProps3.xml><?xml version="1.0" encoding="utf-8"?>
<ds:datastoreItem xmlns:ds="http://schemas.openxmlformats.org/officeDocument/2006/customXml" ds:itemID="{04C664D3-82D3-4289-A989-678FD1DBB4F9}"/>
</file>

<file path=customXml/itemProps4.xml><?xml version="1.0" encoding="utf-8"?>
<ds:datastoreItem xmlns:ds="http://schemas.openxmlformats.org/officeDocument/2006/customXml" ds:itemID="{11C4E535-AB52-4B6B-92CF-6D7A19205D1A}"/>
</file>

<file path=docProps/app.xml><?xml version="1.0" encoding="utf-8"?>
<Properties xmlns="http://schemas.openxmlformats.org/officeDocument/2006/extended-properties" xmlns:vt="http://schemas.openxmlformats.org/officeDocument/2006/docPropsVTypes">
  <Template>Normal.dotm</Template>
  <TotalTime>3</TotalTime>
  <Pages>13</Pages>
  <Words>4967</Words>
  <Characters>28315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Maura McGrath Kristoff</dc:creator>
  <cp:keywords/>
  <dc:description/>
  <cp:lastModifiedBy>Kate Finlayson</cp:lastModifiedBy>
  <cp:revision>3</cp:revision>
  <cp:lastPrinted>2020-10-19T03:59:00Z</cp:lastPrinted>
  <dcterms:created xsi:type="dcterms:W3CDTF">2020-10-19T05:52:00Z</dcterms:created>
  <dcterms:modified xsi:type="dcterms:W3CDTF">2020-10-19T05:55:00Z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