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53ED" w:rsidRPr="00E34CBD" w:rsidRDefault="00E34CBD">
      <w:pPr>
        <w:rPr>
          <w:sz w:val="20"/>
          <w:szCs w:val="20"/>
        </w:rPr>
      </w:pPr>
      <w:r w:rsidRPr="00E34CBD">
        <w:rPr>
          <w:sz w:val="20"/>
          <w:szCs w:val="20"/>
        </w:rPr>
        <w:t>Energy Security Board</w:t>
      </w:r>
      <w:r w:rsidRPr="00E34CBD">
        <w:rPr>
          <w:sz w:val="20"/>
          <w:szCs w:val="20"/>
        </w:rPr>
        <w:br/>
        <w:t>Level 15, 60 Castlereagh St</w:t>
      </w:r>
      <w:r w:rsidRPr="00E34CBD">
        <w:rPr>
          <w:sz w:val="20"/>
          <w:szCs w:val="20"/>
        </w:rPr>
        <w:br/>
        <w:t>Sydney NSW 2000</w:t>
      </w:r>
    </w:p>
    <w:p w:rsidR="00EC7341" w:rsidRPr="00FF7CAD" w:rsidRDefault="002B171B" w:rsidP="00EC7341">
      <w:pPr>
        <w:rPr>
          <w:b/>
        </w:rPr>
      </w:pPr>
      <w:r>
        <w:rPr>
          <w:b/>
        </w:rPr>
        <w:t>15</w:t>
      </w:r>
      <w:r w:rsidR="00E34CBD">
        <w:rPr>
          <w:b/>
        </w:rPr>
        <w:t xml:space="preserve"> October</w:t>
      </w:r>
      <w:r w:rsidR="00D130A9" w:rsidRPr="00FF7CAD">
        <w:rPr>
          <w:b/>
        </w:rPr>
        <w:t xml:space="preserve"> 2020</w:t>
      </w:r>
    </w:p>
    <w:p w:rsidR="00771514" w:rsidRPr="00A55E01" w:rsidRDefault="00EC7341" w:rsidP="00EC7341">
      <w:pPr>
        <w:rPr>
          <w:sz w:val="20"/>
          <w:szCs w:val="20"/>
        </w:rPr>
      </w:pPr>
      <w:r w:rsidRPr="00A55E01">
        <w:rPr>
          <w:sz w:val="20"/>
          <w:szCs w:val="20"/>
        </w:rPr>
        <w:t xml:space="preserve">Thank you for the opportunity to contribute to </w:t>
      </w:r>
      <w:r w:rsidR="00E34CBD">
        <w:rPr>
          <w:sz w:val="20"/>
          <w:szCs w:val="20"/>
        </w:rPr>
        <w:t xml:space="preserve">the ESB’s </w:t>
      </w:r>
      <w:r w:rsidR="00771514" w:rsidRPr="00A55E01">
        <w:rPr>
          <w:sz w:val="20"/>
          <w:szCs w:val="20"/>
        </w:rPr>
        <w:t xml:space="preserve">consultation </w:t>
      </w:r>
      <w:r w:rsidR="00E34CBD">
        <w:rPr>
          <w:sz w:val="20"/>
          <w:szCs w:val="20"/>
        </w:rPr>
        <w:t>on the post-2025 market design for the NEM.</w:t>
      </w:r>
    </w:p>
    <w:p w:rsidR="00A55E01" w:rsidRDefault="00771514" w:rsidP="00E34CBD">
      <w:pPr>
        <w:rPr>
          <w:sz w:val="20"/>
          <w:szCs w:val="20"/>
        </w:rPr>
      </w:pPr>
      <w:r w:rsidRPr="00A55E01">
        <w:rPr>
          <w:sz w:val="20"/>
          <w:szCs w:val="20"/>
        </w:rPr>
        <w:t xml:space="preserve">Reposit </w:t>
      </w:r>
      <w:r w:rsidR="00E34CBD">
        <w:rPr>
          <w:sz w:val="20"/>
          <w:szCs w:val="20"/>
        </w:rPr>
        <w:t>has been</w:t>
      </w:r>
      <w:r w:rsidR="004D7CB9">
        <w:rPr>
          <w:sz w:val="20"/>
          <w:szCs w:val="20"/>
        </w:rPr>
        <w:t xml:space="preserve"> successfully</w:t>
      </w:r>
      <w:r w:rsidR="00E34CBD">
        <w:rPr>
          <w:sz w:val="20"/>
          <w:szCs w:val="20"/>
        </w:rPr>
        <w:t xml:space="preserve"> operating residential solar and battery systems as market-responsive Distributed Energy Resources (DER) in the NEM since 2015. In that time Reposit has been able to achieve market entry </w:t>
      </w:r>
      <w:r w:rsidR="00937B64">
        <w:rPr>
          <w:sz w:val="20"/>
          <w:szCs w:val="20"/>
        </w:rPr>
        <w:t xml:space="preserve">with DER capacity in every service </w:t>
      </w:r>
      <w:r w:rsidR="00E34CBD">
        <w:rPr>
          <w:sz w:val="20"/>
          <w:szCs w:val="20"/>
        </w:rPr>
        <w:t xml:space="preserve">attempted. This has brought Reposit </w:t>
      </w:r>
      <w:r w:rsidR="00455853">
        <w:rPr>
          <w:sz w:val="20"/>
          <w:szCs w:val="20"/>
        </w:rPr>
        <w:t>end users</w:t>
      </w:r>
      <w:r w:rsidR="00E34CBD">
        <w:rPr>
          <w:sz w:val="20"/>
          <w:szCs w:val="20"/>
        </w:rPr>
        <w:t xml:space="preserve"> hundreds of dollars of new value each year. </w:t>
      </w:r>
    </w:p>
    <w:p w:rsidR="00E34CBD" w:rsidRDefault="00937B64" w:rsidP="00E34CBD">
      <w:pPr>
        <w:rPr>
          <w:sz w:val="20"/>
          <w:szCs w:val="20"/>
        </w:rPr>
      </w:pPr>
      <w:r>
        <w:rPr>
          <w:sz w:val="20"/>
          <w:szCs w:val="20"/>
        </w:rPr>
        <w:t>DER acceptance into existing services has not been easy</w:t>
      </w:r>
      <w:r w:rsidR="00E34CBD">
        <w:rPr>
          <w:sz w:val="20"/>
          <w:szCs w:val="20"/>
        </w:rPr>
        <w:t xml:space="preserve"> but it h</w:t>
      </w:r>
      <w:r>
        <w:rPr>
          <w:sz w:val="20"/>
          <w:szCs w:val="20"/>
        </w:rPr>
        <w:t>as been a wholly successful</w:t>
      </w:r>
      <w:r w:rsidR="00E34CBD">
        <w:rPr>
          <w:sz w:val="20"/>
          <w:szCs w:val="20"/>
        </w:rPr>
        <w:t xml:space="preserve">. And so it is Reposit’s opinion that the NEM is </w:t>
      </w:r>
      <w:r w:rsidR="004D7CB9">
        <w:rPr>
          <w:sz w:val="20"/>
          <w:szCs w:val="20"/>
        </w:rPr>
        <w:t>DER-</w:t>
      </w:r>
      <w:r w:rsidR="00E34CBD">
        <w:rPr>
          <w:sz w:val="20"/>
          <w:szCs w:val="20"/>
        </w:rPr>
        <w:t>friendly for those</w:t>
      </w:r>
      <w:r>
        <w:rPr>
          <w:sz w:val="20"/>
          <w:szCs w:val="20"/>
        </w:rPr>
        <w:t xml:space="preserve"> participants</w:t>
      </w:r>
      <w:r w:rsidR="00E34CBD">
        <w:rPr>
          <w:sz w:val="20"/>
          <w:szCs w:val="20"/>
        </w:rPr>
        <w:t xml:space="preserve"> that understand the NER and can argue their pos</w:t>
      </w:r>
      <w:r>
        <w:rPr>
          <w:sz w:val="20"/>
          <w:szCs w:val="20"/>
        </w:rPr>
        <w:t>ition.</w:t>
      </w:r>
      <w:r w:rsidR="00E34CBD">
        <w:rPr>
          <w:sz w:val="20"/>
          <w:szCs w:val="20"/>
        </w:rPr>
        <w:t xml:space="preserve"> It is also Reposit’</w:t>
      </w:r>
      <w:r>
        <w:rPr>
          <w:sz w:val="20"/>
          <w:szCs w:val="20"/>
        </w:rPr>
        <w:t>s opinion</w:t>
      </w:r>
      <w:r w:rsidR="00E34CBD">
        <w:rPr>
          <w:sz w:val="20"/>
          <w:szCs w:val="20"/>
        </w:rPr>
        <w:t xml:space="preserve"> that to attempt to divorce DER investors and operators from </w:t>
      </w:r>
      <w:r w:rsidR="002B171B">
        <w:rPr>
          <w:sz w:val="20"/>
          <w:szCs w:val="20"/>
        </w:rPr>
        <w:t>the requirement to function in the wider NEM will result in wide ranging and substantial negative outcomes in the future.</w:t>
      </w:r>
    </w:p>
    <w:p w:rsidR="002B171B" w:rsidRDefault="002B171B" w:rsidP="00E34CBD">
      <w:pPr>
        <w:rPr>
          <w:sz w:val="20"/>
          <w:szCs w:val="20"/>
        </w:rPr>
      </w:pPr>
      <w:r>
        <w:rPr>
          <w:sz w:val="20"/>
          <w:szCs w:val="20"/>
        </w:rPr>
        <w:t xml:space="preserve">While Reposit respects that the ESB process is wider than DER integration, the remainder of this submission argues </w:t>
      </w:r>
      <w:r w:rsidR="00937B64">
        <w:rPr>
          <w:sz w:val="20"/>
          <w:szCs w:val="20"/>
        </w:rPr>
        <w:t xml:space="preserve">that </w:t>
      </w:r>
      <w:r w:rsidR="004D7CB9">
        <w:rPr>
          <w:sz w:val="20"/>
          <w:szCs w:val="20"/>
        </w:rPr>
        <w:t>capacity</w:t>
      </w:r>
      <w:r w:rsidR="00937B64">
        <w:rPr>
          <w:sz w:val="20"/>
          <w:szCs w:val="20"/>
        </w:rPr>
        <w:t xml:space="preserve"> DER cannot and should not </w:t>
      </w:r>
      <w:r>
        <w:rPr>
          <w:sz w:val="20"/>
          <w:szCs w:val="20"/>
        </w:rPr>
        <w:t xml:space="preserve">be treated </w:t>
      </w:r>
      <w:r w:rsidR="00937B64">
        <w:rPr>
          <w:sz w:val="20"/>
          <w:szCs w:val="20"/>
        </w:rPr>
        <w:t>any differently to</w:t>
      </w:r>
      <w:r>
        <w:rPr>
          <w:sz w:val="20"/>
          <w:szCs w:val="20"/>
        </w:rPr>
        <w:t xml:space="preserve"> </w:t>
      </w:r>
      <w:r w:rsidR="004D7CB9">
        <w:rPr>
          <w:sz w:val="20"/>
          <w:szCs w:val="20"/>
        </w:rPr>
        <w:t>capacity</w:t>
      </w:r>
      <w:r>
        <w:rPr>
          <w:sz w:val="20"/>
          <w:szCs w:val="20"/>
        </w:rPr>
        <w:t xml:space="preserve"> from any other resource.</w:t>
      </w:r>
    </w:p>
    <w:p w:rsidR="002B171B" w:rsidRPr="002B171B" w:rsidRDefault="002B171B" w:rsidP="00E34CBD">
      <w:pPr>
        <w:rPr>
          <w:b/>
          <w:sz w:val="20"/>
          <w:szCs w:val="20"/>
          <w:u w:val="single"/>
        </w:rPr>
      </w:pPr>
      <w:r w:rsidRPr="002B171B">
        <w:rPr>
          <w:b/>
          <w:sz w:val="20"/>
          <w:szCs w:val="20"/>
          <w:u w:val="single"/>
        </w:rPr>
        <w:t>DER is already functioning in the NEM</w:t>
      </w:r>
      <w:r w:rsidR="00D107FF">
        <w:rPr>
          <w:b/>
          <w:sz w:val="20"/>
          <w:szCs w:val="20"/>
          <w:u w:val="single"/>
        </w:rPr>
        <w:t xml:space="preserve"> – It is Reposit’s day job</w:t>
      </w:r>
    </w:p>
    <w:p w:rsidR="00D107FF" w:rsidRDefault="002B171B" w:rsidP="00E34CBD">
      <w:pPr>
        <w:rPr>
          <w:sz w:val="20"/>
          <w:szCs w:val="20"/>
        </w:rPr>
      </w:pPr>
      <w:r>
        <w:rPr>
          <w:sz w:val="20"/>
          <w:szCs w:val="20"/>
        </w:rPr>
        <w:t xml:space="preserve">For several years Reposit has struggled to communicate its successes in the NEM to policy and regulatory bodies in various states and jurisdictions. Some part of this can be attributed to the engineering-and-economics-first culture of the company, and what is considered </w:t>
      </w:r>
      <w:r w:rsidR="00D107FF">
        <w:rPr>
          <w:sz w:val="20"/>
          <w:szCs w:val="20"/>
        </w:rPr>
        <w:t>valuable</w:t>
      </w:r>
      <w:r>
        <w:rPr>
          <w:sz w:val="20"/>
          <w:szCs w:val="20"/>
        </w:rPr>
        <w:t xml:space="preserve"> communication internally.</w:t>
      </w:r>
      <w:r w:rsidR="00D107FF">
        <w:rPr>
          <w:sz w:val="20"/>
          <w:szCs w:val="20"/>
        </w:rPr>
        <w:t xml:space="preserve"> But some of it is simply because it is often stated</w:t>
      </w:r>
      <w:r w:rsidR="00937B64">
        <w:rPr>
          <w:sz w:val="20"/>
          <w:szCs w:val="20"/>
        </w:rPr>
        <w:t xml:space="preserve"> by </w:t>
      </w:r>
      <w:r w:rsidR="004D7CB9">
        <w:rPr>
          <w:sz w:val="20"/>
          <w:szCs w:val="20"/>
        </w:rPr>
        <w:t>the poorly informed</w:t>
      </w:r>
      <w:r w:rsidR="00D107FF">
        <w:rPr>
          <w:sz w:val="20"/>
          <w:szCs w:val="20"/>
        </w:rPr>
        <w:t xml:space="preserve"> that DER “is b</w:t>
      </w:r>
      <w:r w:rsidR="004D7CB9">
        <w:rPr>
          <w:sz w:val="20"/>
          <w:szCs w:val="20"/>
        </w:rPr>
        <w:t>locked from participating in X or Y</w:t>
      </w:r>
      <w:r w:rsidR="00D107FF">
        <w:rPr>
          <w:sz w:val="20"/>
          <w:szCs w:val="20"/>
        </w:rPr>
        <w:t xml:space="preserve"> NEM</w:t>
      </w:r>
      <w:r w:rsidR="004D7CB9">
        <w:rPr>
          <w:sz w:val="20"/>
          <w:szCs w:val="20"/>
        </w:rPr>
        <w:t xml:space="preserve"> service</w:t>
      </w:r>
      <w:r w:rsidR="00D107FF">
        <w:rPr>
          <w:sz w:val="20"/>
          <w:szCs w:val="20"/>
        </w:rPr>
        <w:t>”</w:t>
      </w:r>
      <w:r w:rsidR="004D7CB9">
        <w:rPr>
          <w:sz w:val="20"/>
          <w:szCs w:val="20"/>
        </w:rPr>
        <w:t>. This is simply not the case, the NER does not address DER explicitly to include or exclude it from any service.</w:t>
      </w:r>
    </w:p>
    <w:p w:rsidR="00D107FF" w:rsidRDefault="004D7CB9" w:rsidP="00E34CBD">
      <w:pPr>
        <w:rPr>
          <w:sz w:val="20"/>
          <w:szCs w:val="20"/>
        </w:rPr>
      </w:pPr>
      <w:r>
        <w:rPr>
          <w:sz w:val="20"/>
          <w:szCs w:val="20"/>
        </w:rPr>
        <w:t xml:space="preserve">So to be absolutely clear, </w:t>
      </w:r>
      <w:r w:rsidR="00D107FF">
        <w:rPr>
          <w:sz w:val="20"/>
          <w:szCs w:val="20"/>
        </w:rPr>
        <w:t xml:space="preserve">Reposit has </w:t>
      </w:r>
      <w:r>
        <w:rPr>
          <w:sz w:val="20"/>
          <w:szCs w:val="20"/>
        </w:rPr>
        <w:t xml:space="preserve">successfully </w:t>
      </w:r>
      <w:r w:rsidR="00937B64">
        <w:rPr>
          <w:sz w:val="20"/>
          <w:szCs w:val="20"/>
        </w:rPr>
        <w:t>delivered capacity t0</w:t>
      </w:r>
      <w:r w:rsidR="00D107FF">
        <w:rPr>
          <w:sz w:val="20"/>
          <w:szCs w:val="20"/>
        </w:rPr>
        <w:t xml:space="preserve"> non-trial contracts and registrations for</w:t>
      </w:r>
      <w:r>
        <w:rPr>
          <w:sz w:val="20"/>
          <w:szCs w:val="20"/>
        </w:rPr>
        <w:t xml:space="preserve"> the following NEM services</w:t>
      </w:r>
      <w:r w:rsidR="00D107FF">
        <w:rPr>
          <w:sz w:val="20"/>
          <w:szCs w:val="20"/>
        </w:rPr>
        <w:t>:</w:t>
      </w:r>
    </w:p>
    <w:p w:rsidR="00D107FF" w:rsidRDefault="00E531CA" w:rsidP="00D107FF">
      <w:pPr>
        <w:pStyle w:val="ListParagraph"/>
        <w:numPr>
          <w:ilvl w:val="0"/>
          <w:numId w:val="5"/>
        </w:numPr>
        <w:rPr>
          <w:sz w:val="20"/>
          <w:szCs w:val="20"/>
        </w:rPr>
      </w:pPr>
      <w:r>
        <w:rPr>
          <w:sz w:val="20"/>
          <w:szCs w:val="20"/>
        </w:rPr>
        <w:t>Market</w:t>
      </w:r>
      <w:r w:rsidR="00D107FF">
        <w:rPr>
          <w:sz w:val="20"/>
          <w:szCs w:val="20"/>
        </w:rPr>
        <w:t xml:space="preserve"> - </w:t>
      </w:r>
      <w:r w:rsidR="00D107FF" w:rsidRPr="00D107FF">
        <w:rPr>
          <w:sz w:val="20"/>
          <w:szCs w:val="20"/>
        </w:rPr>
        <w:t xml:space="preserve">Contingency FCAS </w:t>
      </w:r>
      <w:r w:rsidR="00937B64">
        <w:rPr>
          <w:sz w:val="20"/>
          <w:szCs w:val="20"/>
        </w:rPr>
        <w:t>(</w:t>
      </w:r>
      <w:r w:rsidR="0034568B">
        <w:rPr>
          <w:sz w:val="20"/>
          <w:szCs w:val="20"/>
        </w:rPr>
        <w:t>outside of AEMO’s VPP Trial)</w:t>
      </w:r>
    </w:p>
    <w:p w:rsidR="00D107FF" w:rsidRPr="00D107FF" w:rsidRDefault="00E531CA" w:rsidP="00D107FF">
      <w:pPr>
        <w:pStyle w:val="ListParagraph"/>
        <w:numPr>
          <w:ilvl w:val="0"/>
          <w:numId w:val="5"/>
        </w:numPr>
        <w:rPr>
          <w:sz w:val="20"/>
          <w:szCs w:val="20"/>
        </w:rPr>
      </w:pPr>
      <w:r>
        <w:rPr>
          <w:sz w:val="20"/>
          <w:szCs w:val="20"/>
        </w:rPr>
        <w:t>Market</w:t>
      </w:r>
      <w:r w:rsidR="00D107FF">
        <w:rPr>
          <w:sz w:val="20"/>
          <w:szCs w:val="20"/>
        </w:rPr>
        <w:t xml:space="preserve"> - </w:t>
      </w:r>
      <w:r w:rsidR="00D107FF" w:rsidRPr="00D107FF">
        <w:rPr>
          <w:sz w:val="20"/>
          <w:szCs w:val="20"/>
        </w:rPr>
        <w:t xml:space="preserve">RERT </w:t>
      </w:r>
    </w:p>
    <w:p w:rsidR="00D107FF" w:rsidRDefault="00E531CA" w:rsidP="00D107FF">
      <w:pPr>
        <w:pStyle w:val="ListParagraph"/>
        <w:numPr>
          <w:ilvl w:val="0"/>
          <w:numId w:val="5"/>
        </w:numPr>
        <w:rPr>
          <w:sz w:val="20"/>
          <w:szCs w:val="20"/>
        </w:rPr>
      </w:pPr>
      <w:r>
        <w:rPr>
          <w:sz w:val="20"/>
          <w:szCs w:val="20"/>
        </w:rPr>
        <w:t>Market</w:t>
      </w:r>
      <w:r w:rsidR="00D107FF">
        <w:rPr>
          <w:sz w:val="20"/>
          <w:szCs w:val="20"/>
        </w:rPr>
        <w:t xml:space="preserve"> - Wholesale Energy</w:t>
      </w:r>
    </w:p>
    <w:p w:rsidR="00D107FF" w:rsidRDefault="00D107FF" w:rsidP="00D107FF">
      <w:pPr>
        <w:pStyle w:val="ListParagraph"/>
        <w:numPr>
          <w:ilvl w:val="0"/>
          <w:numId w:val="5"/>
        </w:numPr>
        <w:rPr>
          <w:sz w:val="20"/>
          <w:szCs w:val="20"/>
        </w:rPr>
      </w:pPr>
      <w:r>
        <w:rPr>
          <w:sz w:val="20"/>
          <w:szCs w:val="20"/>
        </w:rPr>
        <w:t xml:space="preserve">DNSP - </w:t>
      </w:r>
      <w:r w:rsidR="00937B64">
        <w:rPr>
          <w:sz w:val="20"/>
          <w:szCs w:val="20"/>
        </w:rPr>
        <w:t>Network capital de</w:t>
      </w:r>
      <w:r>
        <w:rPr>
          <w:sz w:val="20"/>
          <w:szCs w:val="20"/>
        </w:rPr>
        <w:t>ferment</w:t>
      </w:r>
    </w:p>
    <w:p w:rsidR="00D107FF" w:rsidRDefault="00D107FF" w:rsidP="00D107FF">
      <w:pPr>
        <w:pStyle w:val="ListParagraph"/>
        <w:numPr>
          <w:ilvl w:val="0"/>
          <w:numId w:val="5"/>
        </w:numPr>
        <w:rPr>
          <w:sz w:val="20"/>
          <w:szCs w:val="20"/>
        </w:rPr>
      </w:pPr>
      <w:r>
        <w:rPr>
          <w:sz w:val="20"/>
          <w:szCs w:val="20"/>
        </w:rPr>
        <w:t>DNSP - Solar curtailment</w:t>
      </w:r>
    </w:p>
    <w:p w:rsidR="00D107FF" w:rsidRDefault="00D107FF" w:rsidP="00D107FF">
      <w:pPr>
        <w:pStyle w:val="ListParagraph"/>
        <w:numPr>
          <w:ilvl w:val="0"/>
          <w:numId w:val="5"/>
        </w:numPr>
        <w:rPr>
          <w:sz w:val="20"/>
          <w:szCs w:val="20"/>
        </w:rPr>
      </w:pPr>
      <w:r>
        <w:rPr>
          <w:sz w:val="20"/>
          <w:szCs w:val="20"/>
        </w:rPr>
        <w:t>DNSP - Voltage control/reactive power provision</w:t>
      </w:r>
    </w:p>
    <w:p w:rsidR="00D107FF" w:rsidRDefault="00D107FF" w:rsidP="00D107FF">
      <w:pPr>
        <w:pStyle w:val="ListParagraph"/>
        <w:numPr>
          <w:ilvl w:val="0"/>
          <w:numId w:val="5"/>
        </w:numPr>
        <w:rPr>
          <w:sz w:val="20"/>
          <w:szCs w:val="20"/>
        </w:rPr>
      </w:pPr>
      <w:r>
        <w:rPr>
          <w:sz w:val="20"/>
          <w:szCs w:val="20"/>
        </w:rPr>
        <w:t>DNSP – Solar ramp rate control</w:t>
      </w:r>
    </w:p>
    <w:p w:rsidR="00D107FF" w:rsidRDefault="00D107FF" w:rsidP="00D107FF">
      <w:pPr>
        <w:pStyle w:val="ListParagraph"/>
        <w:numPr>
          <w:ilvl w:val="0"/>
          <w:numId w:val="5"/>
        </w:numPr>
        <w:rPr>
          <w:sz w:val="20"/>
          <w:szCs w:val="20"/>
        </w:rPr>
      </w:pPr>
      <w:r>
        <w:rPr>
          <w:sz w:val="20"/>
          <w:szCs w:val="20"/>
        </w:rPr>
        <w:t xml:space="preserve">DNSP – </w:t>
      </w:r>
      <w:r w:rsidR="00E531CA">
        <w:rPr>
          <w:sz w:val="20"/>
          <w:szCs w:val="20"/>
        </w:rPr>
        <w:t>D</w:t>
      </w:r>
      <w:r>
        <w:rPr>
          <w:sz w:val="20"/>
          <w:szCs w:val="20"/>
        </w:rPr>
        <w:t>ata provision</w:t>
      </w:r>
      <w:r w:rsidR="00E531CA">
        <w:rPr>
          <w:sz w:val="20"/>
          <w:szCs w:val="20"/>
        </w:rPr>
        <w:t xml:space="preserve"> and site visibility</w:t>
      </w:r>
    </w:p>
    <w:p w:rsidR="00D107FF" w:rsidRDefault="00D107FF" w:rsidP="00D107FF">
      <w:pPr>
        <w:rPr>
          <w:sz w:val="20"/>
          <w:szCs w:val="20"/>
        </w:rPr>
      </w:pPr>
      <w:r>
        <w:rPr>
          <w:sz w:val="20"/>
          <w:szCs w:val="20"/>
        </w:rPr>
        <w:t xml:space="preserve">These </w:t>
      </w:r>
      <w:r w:rsidR="00937B64">
        <w:rPr>
          <w:sz w:val="20"/>
          <w:szCs w:val="20"/>
        </w:rPr>
        <w:t>contracts</w:t>
      </w:r>
      <w:r w:rsidR="00E246A8">
        <w:rPr>
          <w:sz w:val="20"/>
          <w:szCs w:val="20"/>
        </w:rPr>
        <w:t xml:space="preserve"> and registrations</w:t>
      </w:r>
      <w:r w:rsidR="00937B64">
        <w:rPr>
          <w:sz w:val="20"/>
          <w:szCs w:val="20"/>
        </w:rPr>
        <w:t xml:space="preserve"> </w:t>
      </w:r>
      <w:r w:rsidR="00E246A8">
        <w:rPr>
          <w:sz w:val="20"/>
          <w:szCs w:val="20"/>
        </w:rPr>
        <w:t>were not simple to attain and are</w:t>
      </w:r>
      <w:r>
        <w:rPr>
          <w:sz w:val="20"/>
          <w:szCs w:val="20"/>
        </w:rPr>
        <w:t xml:space="preserve"> the product of technology and processes </w:t>
      </w:r>
      <w:r w:rsidR="00937B64">
        <w:rPr>
          <w:sz w:val="20"/>
          <w:szCs w:val="20"/>
        </w:rPr>
        <w:t>that have</w:t>
      </w:r>
      <w:r>
        <w:rPr>
          <w:sz w:val="20"/>
          <w:szCs w:val="20"/>
        </w:rPr>
        <w:t xml:space="preserve"> been built by amazingly talented people</w:t>
      </w:r>
      <w:r w:rsidR="00E246A8">
        <w:rPr>
          <w:sz w:val="20"/>
          <w:szCs w:val="20"/>
        </w:rPr>
        <w:t xml:space="preserve"> at Reposit and our </w:t>
      </w:r>
      <w:r w:rsidR="004D7CB9">
        <w:rPr>
          <w:sz w:val="20"/>
          <w:szCs w:val="20"/>
        </w:rPr>
        <w:t>partners</w:t>
      </w:r>
      <w:r>
        <w:rPr>
          <w:sz w:val="20"/>
          <w:szCs w:val="20"/>
        </w:rPr>
        <w:t xml:space="preserve"> over the course of 8 years.  </w:t>
      </w:r>
      <w:r w:rsidR="00E246A8">
        <w:rPr>
          <w:sz w:val="20"/>
          <w:szCs w:val="20"/>
        </w:rPr>
        <w:t>T</w:t>
      </w:r>
      <w:r>
        <w:rPr>
          <w:sz w:val="20"/>
          <w:szCs w:val="20"/>
        </w:rPr>
        <w:t xml:space="preserve">hey are all </w:t>
      </w:r>
      <w:r w:rsidR="00937B64">
        <w:rPr>
          <w:sz w:val="20"/>
          <w:szCs w:val="20"/>
        </w:rPr>
        <w:t>based solely on technical capability</w:t>
      </w:r>
      <w:r>
        <w:rPr>
          <w:sz w:val="20"/>
          <w:szCs w:val="20"/>
        </w:rPr>
        <w:t xml:space="preserve"> and hence</w:t>
      </w:r>
      <w:r w:rsidR="00E246A8">
        <w:rPr>
          <w:sz w:val="20"/>
          <w:szCs w:val="20"/>
        </w:rPr>
        <w:t xml:space="preserve"> are</w:t>
      </w:r>
      <w:r>
        <w:rPr>
          <w:sz w:val="20"/>
          <w:szCs w:val="20"/>
        </w:rPr>
        <w:t xml:space="preserve"> very much possible </w:t>
      </w:r>
      <w:r w:rsidR="00455853">
        <w:rPr>
          <w:sz w:val="20"/>
          <w:szCs w:val="20"/>
        </w:rPr>
        <w:t xml:space="preserve">for others to </w:t>
      </w:r>
      <w:r w:rsidR="00E246A8">
        <w:rPr>
          <w:sz w:val="20"/>
          <w:szCs w:val="20"/>
        </w:rPr>
        <w:t>replicate</w:t>
      </w:r>
      <w:r w:rsidR="00455853">
        <w:rPr>
          <w:sz w:val="20"/>
          <w:szCs w:val="20"/>
        </w:rPr>
        <w:t xml:space="preserve">. Reposit are happy to discuss the nature of these contracts with the ESB </w:t>
      </w:r>
      <w:r w:rsidR="00E246A8">
        <w:rPr>
          <w:sz w:val="20"/>
          <w:szCs w:val="20"/>
        </w:rPr>
        <w:t>as permitted by</w:t>
      </w:r>
      <w:r w:rsidR="00455853">
        <w:rPr>
          <w:sz w:val="20"/>
          <w:szCs w:val="20"/>
        </w:rPr>
        <w:t xml:space="preserve"> any applicable non-disclosure commitments.</w:t>
      </w:r>
    </w:p>
    <w:p w:rsidR="00CF005A" w:rsidRDefault="00D107FF" w:rsidP="00E246A8">
      <w:pPr>
        <w:rPr>
          <w:sz w:val="20"/>
          <w:szCs w:val="20"/>
        </w:rPr>
      </w:pPr>
      <w:r>
        <w:rPr>
          <w:sz w:val="20"/>
          <w:szCs w:val="20"/>
        </w:rPr>
        <w:t xml:space="preserve">In every case Reposit has had to </w:t>
      </w:r>
      <w:r w:rsidR="00E246A8">
        <w:rPr>
          <w:sz w:val="20"/>
          <w:szCs w:val="20"/>
        </w:rPr>
        <w:t>engage its partners</w:t>
      </w:r>
      <w:r w:rsidR="00CF005A">
        <w:rPr>
          <w:sz w:val="20"/>
          <w:szCs w:val="20"/>
        </w:rPr>
        <w:t xml:space="preserve"> </w:t>
      </w:r>
      <w:r>
        <w:rPr>
          <w:sz w:val="20"/>
          <w:szCs w:val="20"/>
        </w:rPr>
        <w:t>with reasoning and data</w:t>
      </w:r>
      <w:r w:rsidR="00E246A8">
        <w:rPr>
          <w:sz w:val="20"/>
          <w:szCs w:val="20"/>
        </w:rPr>
        <w:t xml:space="preserve"> to show</w:t>
      </w:r>
      <w:r>
        <w:rPr>
          <w:sz w:val="20"/>
          <w:szCs w:val="20"/>
        </w:rPr>
        <w:t xml:space="preserve"> that DER is able to function to deliver these services</w:t>
      </w:r>
      <w:r w:rsidR="00E246A8">
        <w:rPr>
          <w:sz w:val="20"/>
          <w:szCs w:val="20"/>
        </w:rPr>
        <w:t xml:space="preserve"> correctly.</w:t>
      </w:r>
      <w:r>
        <w:rPr>
          <w:sz w:val="20"/>
          <w:szCs w:val="20"/>
        </w:rPr>
        <w:t xml:space="preserve"> </w:t>
      </w:r>
      <w:r w:rsidR="00E246A8">
        <w:rPr>
          <w:sz w:val="20"/>
          <w:szCs w:val="20"/>
        </w:rPr>
        <w:t xml:space="preserve">In some cases this has taken </w:t>
      </w:r>
      <w:r w:rsidR="00E246A8">
        <w:rPr>
          <w:sz w:val="20"/>
          <w:szCs w:val="20"/>
        </w:rPr>
        <w:lastRenderedPageBreak/>
        <w:t>several years</w:t>
      </w:r>
      <w:r w:rsidR="00CF005A">
        <w:rPr>
          <w:sz w:val="20"/>
          <w:szCs w:val="20"/>
        </w:rPr>
        <w:t xml:space="preserve">. </w:t>
      </w:r>
      <w:r w:rsidR="00E246A8">
        <w:rPr>
          <w:sz w:val="20"/>
          <w:szCs w:val="20"/>
        </w:rPr>
        <w:t>This is as it should be</w:t>
      </w:r>
      <w:r w:rsidR="00CF005A">
        <w:rPr>
          <w:sz w:val="20"/>
          <w:szCs w:val="20"/>
        </w:rPr>
        <w:t>.</w:t>
      </w:r>
      <w:r w:rsidR="00E246A8">
        <w:rPr>
          <w:sz w:val="20"/>
          <w:szCs w:val="20"/>
        </w:rPr>
        <w:t xml:space="preserve"> DER is a new technology and</w:t>
      </w:r>
      <w:r w:rsidR="00CF005A">
        <w:rPr>
          <w:sz w:val="20"/>
          <w:szCs w:val="20"/>
        </w:rPr>
        <w:t xml:space="preserve"> Reposit controlled </w:t>
      </w:r>
      <w:r w:rsidR="00E246A8">
        <w:rPr>
          <w:sz w:val="20"/>
          <w:szCs w:val="20"/>
        </w:rPr>
        <w:t>capacity has</w:t>
      </w:r>
      <w:r w:rsidR="00CF005A">
        <w:rPr>
          <w:sz w:val="20"/>
          <w:szCs w:val="20"/>
        </w:rPr>
        <w:t xml:space="preserve"> the same physical effects on the supply/demand balance at a network lo</w:t>
      </w:r>
      <w:r w:rsidR="00455853">
        <w:rPr>
          <w:sz w:val="20"/>
          <w:szCs w:val="20"/>
        </w:rPr>
        <w:t>cation as any other</w:t>
      </w:r>
      <w:r w:rsidR="00CF005A">
        <w:rPr>
          <w:sz w:val="20"/>
          <w:szCs w:val="20"/>
        </w:rPr>
        <w:t xml:space="preserve"> </w:t>
      </w:r>
      <w:r w:rsidR="00E246A8">
        <w:rPr>
          <w:sz w:val="20"/>
          <w:szCs w:val="20"/>
        </w:rPr>
        <w:t>capacity</w:t>
      </w:r>
      <w:r w:rsidR="00CF005A">
        <w:rPr>
          <w:sz w:val="20"/>
          <w:szCs w:val="20"/>
        </w:rPr>
        <w:t>. So, why should it be treated</w:t>
      </w:r>
      <w:r w:rsidR="004D7CB9">
        <w:rPr>
          <w:sz w:val="20"/>
          <w:szCs w:val="20"/>
        </w:rPr>
        <w:t xml:space="preserve"> any</w:t>
      </w:r>
      <w:r w:rsidR="00CF005A">
        <w:rPr>
          <w:sz w:val="20"/>
          <w:szCs w:val="20"/>
        </w:rPr>
        <w:t xml:space="preserve"> differently? Why should it not be subject to the same standard</w:t>
      </w:r>
      <w:r w:rsidR="00455853">
        <w:rPr>
          <w:sz w:val="20"/>
          <w:szCs w:val="20"/>
        </w:rPr>
        <w:t>s</w:t>
      </w:r>
      <w:r w:rsidR="00CF005A">
        <w:rPr>
          <w:sz w:val="20"/>
          <w:szCs w:val="20"/>
        </w:rPr>
        <w:t xml:space="preserve"> as other sources of capacity? Why should it be measured differently? And why should it attract different compensation for the same work done by traditional sources of </w:t>
      </w:r>
      <w:r w:rsidR="00E246A8">
        <w:rPr>
          <w:sz w:val="20"/>
          <w:szCs w:val="20"/>
        </w:rPr>
        <w:t>capacity</w:t>
      </w:r>
      <w:r w:rsidR="00CF005A">
        <w:rPr>
          <w:sz w:val="20"/>
          <w:szCs w:val="20"/>
        </w:rPr>
        <w:t>?</w:t>
      </w:r>
    </w:p>
    <w:p w:rsidR="00C92C8E" w:rsidRDefault="00E531CA" w:rsidP="00BA37C3">
      <w:pPr>
        <w:rPr>
          <w:sz w:val="20"/>
          <w:szCs w:val="20"/>
        </w:rPr>
      </w:pPr>
      <w:r>
        <w:rPr>
          <w:sz w:val="20"/>
          <w:szCs w:val="20"/>
        </w:rPr>
        <w:t>It is Reposit’s</w:t>
      </w:r>
      <w:bookmarkStart w:id="0" w:name="_GoBack"/>
      <w:bookmarkEnd w:id="0"/>
      <w:r>
        <w:rPr>
          <w:sz w:val="20"/>
          <w:szCs w:val="20"/>
        </w:rPr>
        <w:t xml:space="preserve"> opinion that running trials that water down the req</w:t>
      </w:r>
      <w:r w:rsidR="004D7CB9">
        <w:rPr>
          <w:sz w:val="20"/>
          <w:szCs w:val="20"/>
        </w:rPr>
        <w:t>uirements of the NEM for DER have been</w:t>
      </w:r>
      <w:r>
        <w:rPr>
          <w:sz w:val="20"/>
          <w:szCs w:val="20"/>
        </w:rPr>
        <w:t xml:space="preserve"> deeply damaging to the NEM. They have sent, and continue to send the message that DER and VPPs need special treatment to participate</w:t>
      </w:r>
      <w:r w:rsidR="004D7CB9">
        <w:rPr>
          <w:sz w:val="20"/>
          <w:szCs w:val="20"/>
        </w:rPr>
        <w:t xml:space="preserve"> in the NEM</w:t>
      </w:r>
      <w:r>
        <w:rPr>
          <w:sz w:val="20"/>
          <w:szCs w:val="20"/>
        </w:rPr>
        <w:t xml:space="preserve">. They fragment the system, create grey areas and allow special interests to erode the economic, engineering and meritocratic underpinnings of the NEM. Not just for DER, but for all participants. </w:t>
      </w:r>
    </w:p>
    <w:p w:rsidR="00E531CA" w:rsidRDefault="00E531CA" w:rsidP="00BA37C3">
      <w:pPr>
        <w:rPr>
          <w:sz w:val="20"/>
          <w:szCs w:val="20"/>
        </w:rPr>
      </w:pPr>
      <w:r>
        <w:rPr>
          <w:sz w:val="20"/>
          <w:szCs w:val="20"/>
        </w:rPr>
        <w:t>The</w:t>
      </w:r>
      <w:r w:rsidR="00455853">
        <w:rPr>
          <w:sz w:val="20"/>
          <w:szCs w:val="20"/>
        </w:rPr>
        <w:t>se trials</w:t>
      </w:r>
      <w:r>
        <w:rPr>
          <w:sz w:val="20"/>
          <w:szCs w:val="20"/>
        </w:rPr>
        <w:t xml:space="preserve"> also breed weak MW </w:t>
      </w:r>
      <w:r w:rsidR="00C92C8E">
        <w:rPr>
          <w:sz w:val="20"/>
          <w:szCs w:val="20"/>
        </w:rPr>
        <w:t xml:space="preserve">which cannot be compared apples-for-apples with the MW of other participants. It should come as no surprise to anybody that weakening the requirements of the NEM in a trial sees weak participants join </w:t>
      </w:r>
      <w:r w:rsidR="00E246A8">
        <w:rPr>
          <w:sz w:val="20"/>
          <w:szCs w:val="20"/>
        </w:rPr>
        <w:t>a</w:t>
      </w:r>
      <w:r w:rsidR="00C92C8E">
        <w:rPr>
          <w:sz w:val="20"/>
          <w:szCs w:val="20"/>
        </w:rPr>
        <w:t xml:space="preserve"> trial. Why would somebody able to participate in the open market choose instead to apply their efforts to a trial? </w:t>
      </w:r>
    </w:p>
    <w:p w:rsidR="00CF005A" w:rsidRDefault="00CF005A" w:rsidP="00BA37C3">
      <w:pPr>
        <w:rPr>
          <w:sz w:val="20"/>
          <w:szCs w:val="20"/>
        </w:rPr>
      </w:pPr>
      <w:r>
        <w:rPr>
          <w:sz w:val="20"/>
          <w:szCs w:val="20"/>
        </w:rPr>
        <w:t>A key part of the formulation of the NEM is its technology neutrality. This should not be confused wi</w:t>
      </w:r>
      <w:r w:rsidR="004D7CB9">
        <w:rPr>
          <w:sz w:val="20"/>
          <w:szCs w:val="20"/>
        </w:rPr>
        <w:t>th vendor-neutrality (the NEM should</w:t>
      </w:r>
      <w:r>
        <w:rPr>
          <w:sz w:val="20"/>
          <w:szCs w:val="20"/>
        </w:rPr>
        <w:t xml:space="preserve"> absolu</w:t>
      </w:r>
      <w:r w:rsidR="004D7CB9">
        <w:rPr>
          <w:sz w:val="20"/>
          <w:szCs w:val="20"/>
        </w:rPr>
        <w:t>tely be this</w:t>
      </w:r>
      <w:r>
        <w:rPr>
          <w:sz w:val="20"/>
          <w:szCs w:val="20"/>
        </w:rPr>
        <w:t xml:space="preserve"> as well)</w:t>
      </w:r>
      <w:r w:rsidR="00E531CA">
        <w:rPr>
          <w:sz w:val="20"/>
          <w:szCs w:val="20"/>
        </w:rPr>
        <w:t>. Segregating DER from the wider market is not technology-neutral by definitio</w:t>
      </w:r>
      <w:r w:rsidR="004D7CB9">
        <w:rPr>
          <w:sz w:val="20"/>
          <w:szCs w:val="20"/>
        </w:rPr>
        <w:t>n, and the NEM</w:t>
      </w:r>
      <w:r w:rsidR="00E531CA">
        <w:rPr>
          <w:sz w:val="20"/>
          <w:szCs w:val="20"/>
        </w:rPr>
        <w:t xml:space="preserve"> sho</w:t>
      </w:r>
      <w:r w:rsidR="004D7CB9">
        <w:rPr>
          <w:sz w:val="20"/>
          <w:szCs w:val="20"/>
        </w:rPr>
        <w:t>uld not lose this</w:t>
      </w:r>
      <w:r w:rsidR="00E531CA">
        <w:rPr>
          <w:sz w:val="20"/>
          <w:szCs w:val="20"/>
        </w:rPr>
        <w:t xml:space="preserve"> key property in the future.  Even if it means providers of DER must be able justify why their </w:t>
      </w:r>
      <w:r w:rsidR="004D7CB9">
        <w:rPr>
          <w:sz w:val="20"/>
          <w:szCs w:val="20"/>
        </w:rPr>
        <w:t>capacity is</w:t>
      </w:r>
      <w:r w:rsidR="00E531CA">
        <w:rPr>
          <w:sz w:val="20"/>
          <w:szCs w:val="20"/>
        </w:rPr>
        <w:t xml:space="preserve"> just as good</w:t>
      </w:r>
      <w:r w:rsidR="00C92C8E">
        <w:rPr>
          <w:sz w:val="20"/>
          <w:szCs w:val="20"/>
        </w:rPr>
        <w:t xml:space="preserve"> as that of their non-DER peers, and even if some providers don’t make the cut.</w:t>
      </w:r>
    </w:p>
    <w:p w:rsidR="00CF005A" w:rsidRPr="00C92C8E" w:rsidRDefault="00C92C8E" w:rsidP="00BA37C3">
      <w:pPr>
        <w:rPr>
          <w:b/>
          <w:sz w:val="20"/>
          <w:szCs w:val="20"/>
          <w:u w:val="single"/>
        </w:rPr>
      </w:pPr>
      <w:r w:rsidRPr="00C92C8E">
        <w:rPr>
          <w:b/>
          <w:sz w:val="20"/>
          <w:szCs w:val="20"/>
          <w:u w:val="single"/>
        </w:rPr>
        <w:t xml:space="preserve">All </w:t>
      </w:r>
      <w:r w:rsidR="001506B3">
        <w:rPr>
          <w:b/>
          <w:sz w:val="20"/>
          <w:szCs w:val="20"/>
          <w:u w:val="single"/>
        </w:rPr>
        <w:t>waters</w:t>
      </w:r>
      <w:r w:rsidRPr="00C92C8E">
        <w:rPr>
          <w:b/>
          <w:sz w:val="20"/>
          <w:szCs w:val="20"/>
          <w:u w:val="single"/>
        </w:rPr>
        <w:t xml:space="preserve"> eventually meet</w:t>
      </w:r>
      <w:r>
        <w:rPr>
          <w:b/>
          <w:sz w:val="20"/>
          <w:szCs w:val="20"/>
          <w:u w:val="single"/>
        </w:rPr>
        <w:t xml:space="preserve"> </w:t>
      </w:r>
      <w:r w:rsidR="0004599B">
        <w:rPr>
          <w:b/>
          <w:sz w:val="20"/>
          <w:szCs w:val="20"/>
          <w:u w:val="single"/>
        </w:rPr>
        <w:t xml:space="preserve">- </w:t>
      </w:r>
      <w:r>
        <w:rPr>
          <w:b/>
          <w:sz w:val="20"/>
          <w:szCs w:val="20"/>
          <w:u w:val="single"/>
        </w:rPr>
        <w:t>often with unpredictable consequences</w:t>
      </w:r>
    </w:p>
    <w:p w:rsidR="0004599B" w:rsidRDefault="00C92C8E" w:rsidP="00BA37C3">
      <w:pPr>
        <w:rPr>
          <w:sz w:val="20"/>
          <w:szCs w:val="20"/>
        </w:rPr>
      </w:pPr>
      <w:r>
        <w:rPr>
          <w:sz w:val="20"/>
          <w:szCs w:val="20"/>
        </w:rPr>
        <w:t>One of the reasons for technology neutrality, and a single set of overarching rules</w:t>
      </w:r>
      <w:r w:rsidR="00455853">
        <w:rPr>
          <w:sz w:val="20"/>
          <w:szCs w:val="20"/>
        </w:rPr>
        <w:t>,</w:t>
      </w:r>
      <w:r>
        <w:rPr>
          <w:sz w:val="20"/>
          <w:szCs w:val="20"/>
        </w:rPr>
        <w:t xml:space="preserve"> is that the boundary between two systems is where all the weird stuff happens. This is true</w:t>
      </w:r>
      <w:r w:rsidR="00455853">
        <w:rPr>
          <w:sz w:val="20"/>
          <w:szCs w:val="20"/>
        </w:rPr>
        <w:t xml:space="preserve"> everywhere</w:t>
      </w:r>
      <w:r w:rsidR="00A5087D">
        <w:rPr>
          <w:sz w:val="20"/>
          <w:szCs w:val="20"/>
        </w:rPr>
        <w:t>,</w:t>
      </w:r>
      <w:r w:rsidR="00455853">
        <w:rPr>
          <w:sz w:val="20"/>
          <w:szCs w:val="20"/>
        </w:rPr>
        <w:t xml:space="preserve"> but especially</w:t>
      </w:r>
      <w:r>
        <w:rPr>
          <w:sz w:val="20"/>
          <w:szCs w:val="20"/>
        </w:rPr>
        <w:t xml:space="preserve"> in physics, economics and software</w:t>
      </w:r>
      <w:r w:rsidR="00455853">
        <w:rPr>
          <w:sz w:val="20"/>
          <w:szCs w:val="20"/>
        </w:rPr>
        <w:t>.</w:t>
      </w:r>
      <w:r>
        <w:rPr>
          <w:sz w:val="20"/>
          <w:szCs w:val="20"/>
        </w:rPr>
        <w:t xml:space="preserve"> </w:t>
      </w:r>
      <w:r w:rsidR="00455853">
        <w:rPr>
          <w:sz w:val="20"/>
          <w:szCs w:val="20"/>
        </w:rPr>
        <w:t>G</w:t>
      </w:r>
      <w:r>
        <w:rPr>
          <w:sz w:val="20"/>
          <w:szCs w:val="20"/>
        </w:rPr>
        <w:t>iven that the NEM encompasses all three of these disciplines, it wil</w:t>
      </w:r>
      <w:r w:rsidR="00A5087D">
        <w:rPr>
          <w:sz w:val="20"/>
          <w:szCs w:val="20"/>
        </w:rPr>
        <w:t>l absolutely happen in a</w:t>
      </w:r>
      <w:r w:rsidR="004D7CB9">
        <w:rPr>
          <w:sz w:val="20"/>
          <w:szCs w:val="20"/>
        </w:rPr>
        <w:t xml:space="preserve"> fragmented</w:t>
      </w:r>
      <w:r w:rsidR="0004599B">
        <w:rPr>
          <w:sz w:val="20"/>
          <w:szCs w:val="20"/>
        </w:rPr>
        <w:t xml:space="preserve"> NEM</w:t>
      </w:r>
      <w:r w:rsidR="004D7CB9">
        <w:rPr>
          <w:sz w:val="20"/>
          <w:szCs w:val="20"/>
        </w:rPr>
        <w:t>+</w:t>
      </w:r>
      <w:r w:rsidR="00E009B9">
        <w:rPr>
          <w:sz w:val="20"/>
          <w:szCs w:val="20"/>
        </w:rPr>
        <w:t xml:space="preserve"> (proposed) </w:t>
      </w:r>
      <w:r w:rsidR="00A5087D">
        <w:rPr>
          <w:sz w:val="20"/>
          <w:szCs w:val="20"/>
        </w:rPr>
        <w:t>DER-NEM too</w:t>
      </w:r>
      <w:r w:rsidR="00455853">
        <w:rPr>
          <w:sz w:val="20"/>
          <w:szCs w:val="20"/>
        </w:rPr>
        <w:t>,</w:t>
      </w:r>
      <w:r w:rsidR="0004599B">
        <w:rPr>
          <w:sz w:val="20"/>
          <w:szCs w:val="20"/>
        </w:rPr>
        <w:t xml:space="preserve"> and it will be near-impossible to manage.</w:t>
      </w:r>
    </w:p>
    <w:p w:rsidR="0004599B" w:rsidRDefault="0004599B" w:rsidP="00E009B9">
      <w:pPr>
        <w:rPr>
          <w:sz w:val="20"/>
          <w:szCs w:val="20"/>
        </w:rPr>
      </w:pPr>
      <w:r>
        <w:rPr>
          <w:sz w:val="20"/>
          <w:szCs w:val="20"/>
        </w:rPr>
        <w:t xml:space="preserve">We have already seen it happen with </w:t>
      </w:r>
      <w:r w:rsidR="009C7F84">
        <w:rPr>
          <w:sz w:val="20"/>
          <w:szCs w:val="20"/>
        </w:rPr>
        <w:t>s</w:t>
      </w:r>
      <w:r>
        <w:rPr>
          <w:sz w:val="20"/>
          <w:szCs w:val="20"/>
        </w:rPr>
        <w:t xml:space="preserve">olar FiTs. Various entities started to compensate solar feed-in far beyond the market value of that feed-in. People respond to incentives, and the incentive was/is to pile </w:t>
      </w:r>
      <w:r w:rsidR="00E009B9">
        <w:rPr>
          <w:sz w:val="20"/>
          <w:szCs w:val="20"/>
        </w:rPr>
        <w:t xml:space="preserve">rooftop </w:t>
      </w:r>
      <w:r>
        <w:rPr>
          <w:sz w:val="20"/>
          <w:szCs w:val="20"/>
        </w:rPr>
        <w:t xml:space="preserve">solar into the NEM. It isn’t the wholesale market’s fault, the </w:t>
      </w:r>
      <w:r w:rsidR="00A5087D">
        <w:rPr>
          <w:sz w:val="20"/>
          <w:szCs w:val="20"/>
        </w:rPr>
        <w:t>wholesale market</w:t>
      </w:r>
      <w:r>
        <w:rPr>
          <w:sz w:val="20"/>
          <w:szCs w:val="20"/>
        </w:rPr>
        <w:t xml:space="preserve"> isn’t driving the incentive, it is happening in </w:t>
      </w:r>
      <w:r w:rsidR="00A5087D">
        <w:rPr>
          <w:sz w:val="20"/>
          <w:szCs w:val="20"/>
        </w:rPr>
        <w:t>another</w:t>
      </w:r>
      <w:r>
        <w:rPr>
          <w:sz w:val="20"/>
          <w:szCs w:val="20"/>
        </w:rPr>
        <w:t xml:space="preserve"> system.  And it would be fine if the two systems didn’t interact. But they do, and now we are</w:t>
      </w:r>
      <w:r w:rsidR="00A5087D">
        <w:rPr>
          <w:sz w:val="20"/>
          <w:szCs w:val="20"/>
        </w:rPr>
        <w:t xml:space="preserve"> unexpectedly</w:t>
      </w:r>
      <w:r>
        <w:rPr>
          <w:sz w:val="20"/>
          <w:szCs w:val="20"/>
        </w:rPr>
        <w:t xml:space="preserve"> facing various difficult problems on unexpected timeframes.</w:t>
      </w:r>
    </w:p>
    <w:p w:rsidR="0004599B" w:rsidRDefault="0004599B" w:rsidP="00BA37C3">
      <w:pPr>
        <w:rPr>
          <w:sz w:val="20"/>
          <w:szCs w:val="20"/>
        </w:rPr>
      </w:pPr>
      <w:r>
        <w:rPr>
          <w:sz w:val="20"/>
          <w:szCs w:val="20"/>
        </w:rPr>
        <w:t>The initial designers of the regulated solar FiTs</w:t>
      </w:r>
      <w:r w:rsidR="009C7F84">
        <w:rPr>
          <w:sz w:val="20"/>
          <w:szCs w:val="20"/>
        </w:rPr>
        <w:t xml:space="preserve"> just wanted to get more solar PV installed</w:t>
      </w:r>
      <w:r w:rsidR="00E009B9">
        <w:rPr>
          <w:sz w:val="20"/>
          <w:szCs w:val="20"/>
        </w:rPr>
        <w:t xml:space="preserve"> on roofs to help people with their power bills</w:t>
      </w:r>
      <w:r w:rsidR="009C7F84">
        <w:rPr>
          <w:sz w:val="20"/>
          <w:szCs w:val="20"/>
        </w:rPr>
        <w:t>. They didn’t think that things would get out of hand to the point where the NEMDE (they weren’t even th</w:t>
      </w:r>
      <w:r w:rsidR="00E009B9">
        <w:rPr>
          <w:sz w:val="20"/>
          <w:szCs w:val="20"/>
        </w:rPr>
        <w:t>inking about the NEMDE) would not</w:t>
      </w:r>
      <w:r w:rsidR="009C7F84">
        <w:rPr>
          <w:sz w:val="20"/>
          <w:szCs w:val="20"/>
        </w:rPr>
        <w:t xml:space="preserve"> be able to find secure dispatch solutions. All of this in just 10 years, and without the heavily influence of software. PV is a materials science game, things change </w:t>
      </w:r>
      <w:r w:rsidR="00A5087D">
        <w:rPr>
          <w:sz w:val="20"/>
          <w:szCs w:val="20"/>
        </w:rPr>
        <w:t xml:space="preserve">relatively </w:t>
      </w:r>
      <w:r w:rsidR="009C7F84">
        <w:rPr>
          <w:sz w:val="20"/>
          <w:szCs w:val="20"/>
        </w:rPr>
        <w:t>slowly and predictably.</w:t>
      </w:r>
    </w:p>
    <w:p w:rsidR="009C7F84" w:rsidRDefault="009C7F84" w:rsidP="00BA37C3">
      <w:pPr>
        <w:rPr>
          <w:sz w:val="20"/>
          <w:szCs w:val="20"/>
        </w:rPr>
      </w:pPr>
      <w:r>
        <w:rPr>
          <w:sz w:val="20"/>
          <w:szCs w:val="20"/>
        </w:rPr>
        <w:t xml:space="preserve">A similar scenario is likely to play out where an attempt is made to isolate DER from the wider NEM. If the </w:t>
      </w:r>
      <w:r w:rsidR="00CA5709">
        <w:rPr>
          <w:sz w:val="20"/>
          <w:szCs w:val="20"/>
        </w:rPr>
        <w:t>NEM and the DER-</w:t>
      </w:r>
      <w:r w:rsidR="00D63C75">
        <w:rPr>
          <w:sz w:val="20"/>
          <w:szCs w:val="20"/>
        </w:rPr>
        <w:t>NEM</w:t>
      </w:r>
      <w:r>
        <w:rPr>
          <w:sz w:val="20"/>
          <w:szCs w:val="20"/>
        </w:rPr>
        <w:t xml:space="preserve"> share a frequency domain (a grid) then the consequences will be </w:t>
      </w:r>
      <w:r w:rsidR="009C155D">
        <w:rPr>
          <w:sz w:val="20"/>
          <w:szCs w:val="20"/>
        </w:rPr>
        <w:t xml:space="preserve">completely </w:t>
      </w:r>
      <w:r>
        <w:rPr>
          <w:sz w:val="20"/>
          <w:szCs w:val="20"/>
        </w:rPr>
        <w:t>unpredictable</w:t>
      </w:r>
      <w:r w:rsidR="00CA5709">
        <w:rPr>
          <w:sz w:val="20"/>
          <w:szCs w:val="20"/>
        </w:rPr>
        <w:t>.</w:t>
      </w:r>
      <w:r w:rsidR="00E009B9">
        <w:rPr>
          <w:sz w:val="20"/>
          <w:szCs w:val="20"/>
        </w:rPr>
        <w:t xml:space="preserve"> </w:t>
      </w:r>
      <w:proofErr w:type="gramStart"/>
      <w:r>
        <w:rPr>
          <w:sz w:val="20"/>
          <w:szCs w:val="20"/>
        </w:rPr>
        <w:t>Especially when the impact of Artificial Intelligence (AI) is considered.</w:t>
      </w:r>
      <w:proofErr w:type="gramEnd"/>
      <w:r>
        <w:rPr>
          <w:sz w:val="20"/>
          <w:szCs w:val="20"/>
        </w:rPr>
        <w:t xml:space="preserve"> Not just today’s AI, </w:t>
      </w:r>
      <w:r w:rsidR="0034568B">
        <w:rPr>
          <w:sz w:val="20"/>
          <w:szCs w:val="20"/>
        </w:rPr>
        <w:t xml:space="preserve">but </w:t>
      </w:r>
      <w:r>
        <w:rPr>
          <w:sz w:val="20"/>
          <w:szCs w:val="20"/>
        </w:rPr>
        <w:t>10</w:t>
      </w:r>
      <w:r w:rsidR="00A5087D">
        <w:rPr>
          <w:sz w:val="20"/>
          <w:szCs w:val="20"/>
        </w:rPr>
        <w:t>+</w:t>
      </w:r>
      <w:r>
        <w:rPr>
          <w:sz w:val="20"/>
          <w:szCs w:val="20"/>
        </w:rPr>
        <w:t xml:space="preserve">-years-into-the-future AI. </w:t>
      </w:r>
    </w:p>
    <w:p w:rsidR="00D63C75" w:rsidRDefault="00A5087D" w:rsidP="00BA37C3">
      <w:pPr>
        <w:rPr>
          <w:sz w:val="20"/>
          <w:szCs w:val="20"/>
        </w:rPr>
      </w:pPr>
      <w:r>
        <w:rPr>
          <w:sz w:val="20"/>
          <w:szCs w:val="20"/>
        </w:rPr>
        <w:t xml:space="preserve">AI is a collection of technologies that delivers low-cost predictions by finding correlations in data. In all circumstances an AI operator is seeking a valuable outcome. In simple </w:t>
      </w:r>
      <w:r w:rsidR="00E009B9">
        <w:rPr>
          <w:sz w:val="20"/>
          <w:szCs w:val="20"/>
        </w:rPr>
        <w:t xml:space="preserve">terms, a large amount of </w:t>
      </w:r>
      <w:r w:rsidR="00E009B9" w:rsidRPr="00FE0C19">
        <w:rPr>
          <w:sz w:val="20"/>
          <w:szCs w:val="20"/>
          <w:lang w:val="en-AU"/>
        </w:rPr>
        <w:t>organis</w:t>
      </w:r>
      <w:r w:rsidRPr="00FE0C19">
        <w:rPr>
          <w:sz w:val="20"/>
          <w:szCs w:val="20"/>
          <w:lang w:val="en-AU"/>
        </w:rPr>
        <w:t>ed</w:t>
      </w:r>
      <w:r>
        <w:rPr>
          <w:sz w:val="20"/>
          <w:szCs w:val="20"/>
        </w:rPr>
        <w:t xml:space="preserve"> data from the problem space is provided to an algorithm, and the </w:t>
      </w:r>
      <w:r>
        <w:rPr>
          <w:sz w:val="20"/>
          <w:szCs w:val="20"/>
        </w:rPr>
        <w:lastRenderedPageBreak/>
        <w:t xml:space="preserve">algorithm finds correlations in the data. Those correlations are not necessarily causal, they are just correlations. And those correlations can be between data that people </w:t>
      </w:r>
      <w:r w:rsidR="00D63C75">
        <w:rPr>
          <w:sz w:val="20"/>
          <w:szCs w:val="20"/>
        </w:rPr>
        <w:t>wouldn’t suspect were there</w:t>
      </w:r>
      <w:r>
        <w:rPr>
          <w:sz w:val="20"/>
          <w:szCs w:val="20"/>
        </w:rPr>
        <w:t>. So, as an AI operator one gets a lot of data, organizes it nicely</w:t>
      </w:r>
      <w:r w:rsidR="00E009B9">
        <w:rPr>
          <w:sz w:val="20"/>
          <w:szCs w:val="20"/>
        </w:rPr>
        <w:t>, throws it at the algorithm</w:t>
      </w:r>
      <w:r>
        <w:rPr>
          <w:sz w:val="20"/>
          <w:szCs w:val="20"/>
        </w:rPr>
        <w:t xml:space="preserve"> and then sees what the AI finds</w:t>
      </w:r>
      <w:r w:rsidR="00D63C75">
        <w:rPr>
          <w:sz w:val="20"/>
          <w:szCs w:val="20"/>
        </w:rPr>
        <w:t xml:space="preserve">. Where the correlations </w:t>
      </w:r>
      <w:r w:rsidR="0034568B">
        <w:rPr>
          <w:sz w:val="20"/>
          <w:szCs w:val="20"/>
        </w:rPr>
        <w:t>are judged to be</w:t>
      </w:r>
      <w:r w:rsidR="00D63C75">
        <w:rPr>
          <w:sz w:val="20"/>
          <w:szCs w:val="20"/>
        </w:rPr>
        <w:t xml:space="preserve"> robust, and there is value in an accurate prediction, the AI operator begins to act according to those predictions.</w:t>
      </w:r>
    </w:p>
    <w:p w:rsidR="00D63C75" w:rsidRDefault="00D63C75" w:rsidP="00BA37C3">
      <w:pPr>
        <w:rPr>
          <w:sz w:val="20"/>
          <w:szCs w:val="20"/>
        </w:rPr>
      </w:pPr>
      <w:r>
        <w:rPr>
          <w:sz w:val="20"/>
          <w:szCs w:val="20"/>
        </w:rPr>
        <w:t>Because computation</w:t>
      </w:r>
      <w:r w:rsidR="00E009B9">
        <w:rPr>
          <w:sz w:val="20"/>
          <w:szCs w:val="20"/>
        </w:rPr>
        <w:t xml:space="preserve"> is</w:t>
      </w:r>
      <w:r>
        <w:rPr>
          <w:sz w:val="20"/>
          <w:szCs w:val="20"/>
        </w:rPr>
        <w:t xml:space="preserve"> so inexpensive, any nicely organized database (like AEMO’s MMS), no matter how large can be ingested and correlations identified. Doubtless, any DER-NEM will have a similar software-driven MMS-like system which like AEMO’s MMS will be able to be ingested by an AI. This AI will quickly find correlations between the two systems, many of them causal, </w:t>
      </w:r>
      <w:r w:rsidR="002E20C5">
        <w:rPr>
          <w:sz w:val="20"/>
          <w:szCs w:val="20"/>
        </w:rPr>
        <w:t xml:space="preserve">because both markets </w:t>
      </w:r>
      <w:r>
        <w:rPr>
          <w:sz w:val="20"/>
          <w:szCs w:val="20"/>
        </w:rPr>
        <w:t>operate on the same electrical</w:t>
      </w:r>
      <w:r w:rsidR="002E20C5">
        <w:rPr>
          <w:sz w:val="20"/>
          <w:szCs w:val="20"/>
        </w:rPr>
        <w:t xml:space="preserve"> system</w:t>
      </w:r>
      <w:r>
        <w:rPr>
          <w:sz w:val="20"/>
          <w:szCs w:val="20"/>
        </w:rPr>
        <w:t xml:space="preserve">. </w:t>
      </w:r>
    </w:p>
    <w:p w:rsidR="00A5087D" w:rsidRDefault="00D63C75" w:rsidP="00BA37C3">
      <w:pPr>
        <w:rPr>
          <w:sz w:val="20"/>
          <w:szCs w:val="20"/>
        </w:rPr>
      </w:pPr>
      <w:r>
        <w:rPr>
          <w:sz w:val="20"/>
          <w:szCs w:val="20"/>
        </w:rPr>
        <w:t xml:space="preserve">What happens in the NEM will absolutely be detectable in the DER-NEM. Which means actions in one system will affect the other system, </w:t>
      </w:r>
      <w:r w:rsidR="002E20C5">
        <w:rPr>
          <w:sz w:val="20"/>
          <w:szCs w:val="20"/>
        </w:rPr>
        <w:t>and</w:t>
      </w:r>
      <w:r w:rsidR="0034568B">
        <w:rPr>
          <w:sz w:val="20"/>
          <w:szCs w:val="20"/>
        </w:rPr>
        <w:t xml:space="preserve"> this</w:t>
      </w:r>
      <w:r>
        <w:rPr>
          <w:sz w:val="20"/>
          <w:szCs w:val="20"/>
        </w:rPr>
        <w:t xml:space="preserve"> creates an opportunity for broad-scale arbitrage</w:t>
      </w:r>
      <w:r w:rsidR="00923317">
        <w:rPr>
          <w:sz w:val="20"/>
          <w:szCs w:val="20"/>
        </w:rPr>
        <w:t xml:space="preserve"> between the systems</w:t>
      </w:r>
      <w:r w:rsidR="002E20C5">
        <w:rPr>
          <w:sz w:val="20"/>
          <w:szCs w:val="20"/>
        </w:rPr>
        <w:t xml:space="preserve">. People (including Reposit) will use technology to find these boundary effects and exploit them to make money without </w:t>
      </w:r>
      <w:r w:rsidR="0034568B">
        <w:rPr>
          <w:sz w:val="20"/>
          <w:szCs w:val="20"/>
        </w:rPr>
        <w:t xml:space="preserve">necessarily </w:t>
      </w:r>
      <w:r w:rsidR="002E20C5">
        <w:rPr>
          <w:sz w:val="20"/>
          <w:szCs w:val="20"/>
        </w:rPr>
        <w:t xml:space="preserve">delivering what the power system needs. Similar technology to this is already employed in the NEM but it is of limited value because the boundaries (transmission constraints, service structure, </w:t>
      </w:r>
      <w:r w:rsidR="00FE0C19">
        <w:rPr>
          <w:sz w:val="20"/>
          <w:szCs w:val="20"/>
        </w:rPr>
        <w:t>etc.</w:t>
      </w:r>
      <w:r w:rsidR="002E20C5">
        <w:rPr>
          <w:sz w:val="20"/>
          <w:szCs w:val="20"/>
        </w:rPr>
        <w:t>) are soft and 5-minute changeable.  The introduction of a hard and slowly changing boundary</w:t>
      </w:r>
      <w:r w:rsidR="009B7589">
        <w:rPr>
          <w:sz w:val="20"/>
          <w:szCs w:val="20"/>
        </w:rPr>
        <w:t xml:space="preserve"> </w:t>
      </w:r>
      <w:r w:rsidR="001506B3">
        <w:rPr>
          <w:sz w:val="20"/>
          <w:szCs w:val="20"/>
        </w:rPr>
        <w:t>supported by</w:t>
      </w:r>
      <w:r w:rsidR="009B7589">
        <w:rPr>
          <w:sz w:val="20"/>
          <w:szCs w:val="20"/>
        </w:rPr>
        <w:t xml:space="preserve"> a shared </w:t>
      </w:r>
      <w:r w:rsidR="001506B3">
        <w:rPr>
          <w:sz w:val="20"/>
          <w:szCs w:val="20"/>
        </w:rPr>
        <w:t>grid</w:t>
      </w:r>
      <w:r w:rsidR="002E20C5">
        <w:rPr>
          <w:sz w:val="20"/>
          <w:szCs w:val="20"/>
        </w:rPr>
        <w:t xml:space="preserve"> w</w:t>
      </w:r>
      <w:r w:rsidR="009B7589">
        <w:rPr>
          <w:sz w:val="20"/>
          <w:szCs w:val="20"/>
        </w:rPr>
        <w:t>ill</w:t>
      </w:r>
      <w:r w:rsidR="002E20C5">
        <w:rPr>
          <w:sz w:val="20"/>
          <w:szCs w:val="20"/>
        </w:rPr>
        <w:t xml:space="preserve"> result in it being exploited for profit at the expense of the efficiency of the NEM. </w:t>
      </w:r>
    </w:p>
    <w:p w:rsidR="00923317" w:rsidRDefault="009B7589" w:rsidP="00BA37C3">
      <w:pPr>
        <w:rPr>
          <w:sz w:val="20"/>
          <w:szCs w:val="20"/>
        </w:rPr>
      </w:pPr>
      <w:r>
        <w:rPr>
          <w:sz w:val="20"/>
          <w:szCs w:val="20"/>
        </w:rPr>
        <w:t xml:space="preserve">The regulatory system will need to respond to this inefficiency and will do so by having to consider how a rule change in </w:t>
      </w:r>
      <w:r w:rsidR="00227232">
        <w:rPr>
          <w:sz w:val="20"/>
          <w:szCs w:val="20"/>
        </w:rPr>
        <w:t>the NEM</w:t>
      </w:r>
      <w:r>
        <w:rPr>
          <w:sz w:val="20"/>
          <w:szCs w:val="20"/>
        </w:rPr>
        <w:t xml:space="preserve"> would affect the </w:t>
      </w:r>
      <w:r w:rsidR="00227232">
        <w:rPr>
          <w:sz w:val="20"/>
          <w:szCs w:val="20"/>
        </w:rPr>
        <w:t>DER-NEM</w:t>
      </w:r>
      <w:r>
        <w:rPr>
          <w:sz w:val="20"/>
          <w:szCs w:val="20"/>
        </w:rPr>
        <w:t xml:space="preserve">. Having a NEM and a DER-NEM now means that there are two degrees of freedom to consider, but because there is only a single grid the rule changes will interact. The net effect will be </w:t>
      </w:r>
      <w:r w:rsidR="00923317">
        <w:rPr>
          <w:sz w:val="20"/>
          <w:szCs w:val="20"/>
        </w:rPr>
        <w:t xml:space="preserve">that the regulators will have to consider both systems as </w:t>
      </w:r>
      <w:r>
        <w:rPr>
          <w:sz w:val="20"/>
          <w:szCs w:val="20"/>
        </w:rPr>
        <w:t xml:space="preserve">a single market, but one with at least twice the complexity of the current NEM, and </w:t>
      </w:r>
      <w:r w:rsidR="00227232">
        <w:rPr>
          <w:sz w:val="20"/>
          <w:szCs w:val="20"/>
        </w:rPr>
        <w:t xml:space="preserve">one with </w:t>
      </w:r>
      <w:r>
        <w:rPr>
          <w:sz w:val="20"/>
          <w:szCs w:val="20"/>
        </w:rPr>
        <w:t xml:space="preserve">AI-amplified boundary effects. It will favor those participants with the most customer data, and the most sophisticated data science teams. </w:t>
      </w:r>
    </w:p>
    <w:p w:rsidR="00D63C75" w:rsidRDefault="009B7589" w:rsidP="00BA37C3">
      <w:pPr>
        <w:rPr>
          <w:sz w:val="20"/>
          <w:szCs w:val="20"/>
        </w:rPr>
      </w:pPr>
      <w:r>
        <w:rPr>
          <w:sz w:val="20"/>
          <w:szCs w:val="20"/>
        </w:rPr>
        <w:t xml:space="preserve">The incentive will be to exploit </w:t>
      </w:r>
      <w:r w:rsidR="00923317">
        <w:rPr>
          <w:sz w:val="20"/>
          <w:szCs w:val="20"/>
        </w:rPr>
        <w:t>the structure of the system</w:t>
      </w:r>
      <w:r>
        <w:rPr>
          <w:sz w:val="20"/>
          <w:szCs w:val="20"/>
        </w:rPr>
        <w:t xml:space="preserve"> </w:t>
      </w:r>
      <w:r w:rsidR="00923317">
        <w:rPr>
          <w:sz w:val="20"/>
          <w:szCs w:val="20"/>
        </w:rPr>
        <w:t>instead of to</w:t>
      </w:r>
      <w:r>
        <w:rPr>
          <w:sz w:val="20"/>
          <w:szCs w:val="20"/>
        </w:rPr>
        <w:t xml:space="preserve"> deliver electricity to consumers at the lowest cost. </w:t>
      </w:r>
      <w:r w:rsidR="00923317">
        <w:rPr>
          <w:sz w:val="20"/>
          <w:szCs w:val="20"/>
        </w:rPr>
        <w:t xml:space="preserve">This is the first reason the creation of a DER NEM will be anti-consumer. </w:t>
      </w:r>
    </w:p>
    <w:p w:rsidR="00CF005A" w:rsidRPr="001506B3" w:rsidRDefault="001506B3" w:rsidP="00BA37C3">
      <w:pPr>
        <w:rPr>
          <w:b/>
          <w:sz w:val="20"/>
          <w:szCs w:val="20"/>
          <w:u w:val="single"/>
        </w:rPr>
      </w:pPr>
      <w:r w:rsidRPr="001506B3">
        <w:rPr>
          <w:b/>
          <w:sz w:val="20"/>
          <w:szCs w:val="20"/>
          <w:u w:val="single"/>
        </w:rPr>
        <w:t>One set of rules for us and another for them</w:t>
      </w:r>
    </w:p>
    <w:p w:rsidR="006A4874" w:rsidRDefault="00227232" w:rsidP="00BA37C3">
      <w:pPr>
        <w:rPr>
          <w:sz w:val="20"/>
          <w:szCs w:val="20"/>
        </w:rPr>
      </w:pPr>
      <w:r>
        <w:rPr>
          <w:sz w:val="20"/>
          <w:szCs w:val="20"/>
        </w:rPr>
        <w:t>The second reason why</w:t>
      </w:r>
      <w:r w:rsidR="001506B3">
        <w:rPr>
          <w:sz w:val="20"/>
          <w:szCs w:val="20"/>
        </w:rPr>
        <w:t xml:space="preserve"> a DER-NEM is anti-consumer is that it very clearly tells consumers that they are not welcome in the electricity system – not if they want to benefit from it anyway. Doubtless, this will not be the intention of the market designers, but this is how it will be interpreted. </w:t>
      </w:r>
    </w:p>
    <w:p w:rsidR="001506B3" w:rsidRDefault="001506B3" w:rsidP="00BA37C3">
      <w:pPr>
        <w:rPr>
          <w:sz w:val="20"/>
          <w:szCs w:val="20"/>
        </w:rPr>
      </w:pPr>
      <w:r>
        <w:rPr>
          <w:sz w:val="20"/>
          <w:szCs w:val="20"/>
        </w:rPr>
        <w:t xml:space="preserve">This message will be primarily heard by early adopters and influencers who invested in market-exposed technology and </w:t>
      </w:r>
      <w:r w:rsidR="00FE0C19">
        <w:rPr>
          <w:sz w:val="20"/>
          <w:szCs w:val="20"/>
        </w:rPr>
        <w:t xml:space="preserve">tariffs, </w:t>
      </w:r>
      <w:r>
        <w:rPr>
          <w:sz w:val="20"/>
          <w:szCs w:val="20"/>
        </w:rPr>
        <w:t>enjoy the benefits</w:t>
      </w:r>
      <w:r w:rsidR="00FE0C19">
        <w:rPr>
          <w:sz w:val="20"/>
          <w:szCs w:val="20"/>
        </w:rPr>
        <w:t>,</w:t>
      </w:r>
      <w:r>
        <w:rPr>
          <w:sz w:val="20"/>
          <w:szCs w:val="20"/>
        </w:rPr>
        <w:t xml:space="preserve"> and </w:t>
      </w:r>
      <w:r w:rsidR="006A4874">
        <w:rPr>
          <w:sz w:val="20"/>
          <w:szCs w:val="20"/>
        </w:rPr>
        <w:t>are excited about the future. This is the more engaged and vocal “prosumer” custom</w:t>
      </w:r>
      <w:r w:rsidR="00FE0C19">
        <w:rPr>
          <w:sz w:val="20"/>
          <w:szCs w:val="20"/>
        </w:rPr>
        <w:t>er segment. T</w:t>
      </w:r>
      <w:r w:rsidR="006A4874">
        <w:rPr>
          <w:sz w:val="20"/>
          <w:szCs w:val="20"/>
        </w:rPr>
        <w:t>hey are often technologists, or have adopted technology strongly later in life.  They will ask their representatives to explain why things were changed when they were seeing benefits? They will be naturally suspicious of the change because the electricity system is viewed as untrustworthy by the majority of electricity consumers.</w:t>
      </w:r>
    </w:p>
    <w:p w:rsidR="00FC783F" w:rsidRDefault="006A4874" w:rsidP="00BA37C3">
      <w:pPr>
        <w:rPr>
          <w:sz w:val="20"/>
          <w:szCs w:val="20"/>
        </w:rPr>
      </w:pPr>
      <w:r>
        <w:rPr>
          <w:sz w:val="20"/>
          <w:szCs w:val="20"/>
        </w:rPr>
        <w:t>And they will be correct. The NEM as it stands works for those who have made the right buyi</w:t>
      </w:r>
      <w:r w:rsidR="00D005C1">
        <w:rPr>
          <w:sz w:val="20"/>
          <w:szCs w:val="20"/>
        </w:rPr>
        <w:t>ng decision</w:t>
      </w:r>
      <w:r w:rsidR="00FC783F">
        <w:rPr>
          <w:sz w:val="20"/>
          <w:szCs w:val="20"/>
        </w:rPr>
        <w:t>s</w:t>
      </w:r>
      <w:r w:rsidR="00D005C1">
        <w:rPr>
          <w:sz w:val="20"/>
          <w:szCs w:val="20"/>
        </w:rPr>
        <w:t xml:space="preserve">. Several thousand engaged prosumers </w:t>
      </w:r>
      <w:r w:rsidR="00FC783F">
        <w:rPr>
          <w:sz w:val="20"/>
          <w:szCs w:val="20"/>
        </w:rPr>
        <w:t>are seeing the benefits that</w:t>
      </w:r>
      <w:r w:rsidR="00D005C1">
        <w:rPr>
          <w:sz w:val="20"/>
          <w:szCs w:val="20"/>
        </w:rPr>
        <w:t xml:space="preserve"> NEM </w:t>
      </w:r>
      <w:r w:rsidR="00FC783F">
        <w:rPr>
          <w:sz w:val="20"/>
          <w:szCs w:val="20"/>
        </w:rPr>
        <w:t xml:space="preserve">market exposure </w:t>
      </w:r>
      <w:r w:rsidR="00D005C1">
        <w:rPr>
          <w:sz w:val="20"/>
          <w:szCs w:val="20"/>
        </w:rPr>
        <w:t>delivers from Reposit an</w:t>
      </w:r>
      <w:r w:rsidR="00FC783F">
        <w:rPr>
          <w:sz w:val="20"/>
          <w:szCs w:val="20"/>
        </w:rPr>
        <w:t>d related offerings. Perhaps the DER-NEM will deliver equal or greater benefits, but in a low trust environment a bird in the hand is worth two in the bush.</w:t>
      </w:r>
    </w:p>
    <w:p w:rsidR="00A0030C" w:rsidRDefault="00FC783F" w:rsidP="00BA37C3">
      <w:pPr>
        <w:rPr>
          <w:sz w:val="20"/>
          <w:szCs w:val="20"/>
        </w:rPr>
      </w:pPr>
      <w:r>
        <w:rPr>
          <w:sz w:val="20"/>
          <w:szCs w:val="20"/>
        </w:rPr>
        <w:lastRenderedPageBreak/>
        <w:t>This stands apart from the dissatisfaction that any unfavorable value discrepancy</w:t>
      </w:r>
      <w:r w:rsidR="00227232">
        <w:rPr>
          <w:sz w:val="20"/>
          <w:szCs w:val="20"/>
        </w:rPr>
        <w:t xml:space="preserve"> between consumers and “the big guys”</w:t>
      </w:r>
      <w:r>
        <w:rPr>
          <w:sz w:val="20"/>
          <w:szCs w:val="20"/>
        </w:rPr>
        <w:t xml:space="preserve"> creates among consumers. When Reposit first delivered a wholesale market linked $1/kWh battery FiT in 2017</w:t>
      </w:r>
      <w:r w:rsidR="00587147">
        <w:rPr>
          <w:sz w:val="20"/>
          <w:szCs w:val="20"/>
        </w:rPr>
        <w:t xml:space="preserve"> (GridCredits)</w:t>
      </w:r>
      <w:r>
        <w:rPr>
          <w:sz w:val="20"/>
          <w:szCs w:val="20"/>
        </w:rPr>
        <w:t xml:space="preserve">, it took very little time for </w:t>
      </w:r>
      <w:r w:rsidR="00587147">
        <w:rPr>
          <w:sz w:val="20"/>
          <w:szCs w:val="20"/>
        </w:rPr>
        <w:t xml:space="preserve">previously unengaged </w:t>
      </w:r>
      <w:r>
        <w:rPr>
          <w:sz w:val="20"/>
          <w:szCs w:val="20"/>
        </w:rPr>
        <w:t xml:space="preserve">people </w:t>
      </w:r>
      <w:r w:rsidR="00587147">
        <w:rPr>
          <w:sz w:val="20"/>
          <w:szCs w:val="20"/>
        </w:rPr>
        <w:t xml:space="preserve">to </w:t>
      </w:r>
      <w:r w:rsidR="00587147" w:rsidRPr="00FE0C19">
        <w:rPr>
          <w:sz w:val="20"/>
          <w:szCs w:val="20"/>
          <w:lang w:val="en-AU"/>
        </w:rPr>
        <w:t>realise</w:t>
      </w:r>
      <w:r>
        <w:rPr>
          <w:sz w:val="20"/>
          <w:szCs w:val="20"/>
        </w:rPr>
        <w:t xml:space="preserve"> that there was a potential $13/kWh arbitrage </w:t>
      </w:r>
      <w:r w:rsidR="00587147">
        <w:rPr>
          <w:sz w:val="20"/>
          <w:szCs w:val="20"/>
        </w:rPr>
        <w:t>for our partnering retailer. The support lines exploded in outrage. It was not fair, it was their battery energy. Why can’t all of that value flow to the end user?</w:t>
      </w:r>
    </w:p>
    <w:p w:rsidR="00FC783F" w:rsidRDefault="00587147" w:rsidP="00BA37C3">
      <w:pPr>
        <w:rPr>
          <w:sz w:val="20"/>
          <w:szCs w:val="20"/>
        </w:rPr>
      </w:pPr>
      <w:r>
        <w:rPr>
          <w:sz w:val="20"/>
          <w:szCs w:val="20"/>
        </w:rPr>
        <w:t xml:space="preserve">In this case, those people provided a poor satisfaction score and removed their battery from earning </w:t>
      </w:r>
      <w:r w:rsidR="00A0030C">
        <w:rPr>
          <w:sz w:val="20"/>
          <w:szCs w:val="20"/>
        </w:rPr>
        <w:t>GridCredits</w:t>
      </w:r>
      <w:r w:rsidR="009845B4">
        <w:rPr>
          <w:sz w:val="20"/>
          <w:szCs w:val="20"/>
        </w:rPr>
        <w:t xml:space="preserve"> – even though they were going to lose their $1/kWh</w:t>
      </w:r>
      <w:r w:rsidR="00E009B9">
        <w:rPr>
          <w:sz w:val="20"/>
          <w:szCs w:val="20"/>
        </w:rPr>
        <w:t xml:space="preserve">, </w:t>
      </w:r>
      <w:r w:rsidR="009845B4">
        <w:rPr>
          <w:sz w:val="20"/>
          <w:szCs w:val="20"/>
        </w:rPr>
        <w:t>as there was no substitute product</w:t>
      </w:r>
      <w:r>
        <w:rPr>
          <w:sz w:val="20"/>
          <w:szCs w:val="20"/>
        </w:rPr>
        <w:t>. What will they do when they are told that their representatives have decided their batteries</w:t>
      </w:r>
      <w:r w:rsidR="00A0030C">
        <w:rPr>
          <w:sz w:val="20"/>
          <w:szCs w:val="20"/>
        </w:rPr>
        <w:t xml:space="preserve"> and cars</w:t>
      </w:r>
      <w:r>
        <w:rPr>
          <w:sz w:val="20"/>
          <w:szCs w:val="20"/>
        </w:rPr>
        <w:t xml:space="preserve"> are completely excluded from </w:t>
      </w:r>
      <w:r w:rsidR="00A0030C">
        <w:rPr>
          <w:sz w:val="20"/>
          <w:szCs w:val="20"/>
        </w:rPr>
        <w:t xml:space="preserve">the big </w:t>
      </w:r>
      <w:r>
        <w:rPr>
          <w:sz w:val="20"/>
          <w:szCs w:val="20"/>
        </w:rPr>
        <w:t>markets because it is better for them that way?</w:t>
      </w:r>
      <w:r w:rsidR="00A0030C">
        <w:rPr>
          <w:sz w:val="20"/>
          <w:szCs w:val="20"/>
        </w:rPr>
        <w:t xml:space="preserve"> Unless the DER-NEM can be designed to always deliver better or greater returns (and we see what this did with the solar FiT) it will be a constant reminder to Australian electricity consumers that the electricity system is not really there for them</w:t>
      </w:r>
      <w:r w:rsidR="00C56CAA">
        <w:rPr>
          <w:sz w:val="20"/>
          <w:szCs w:val="20"/>
        </w:rPr>
        <w:t xml:space="preserve">. As soon as technology gave them the ability to join in the main game, </w:t>
      </w:r>
      <w:r w:rsidR="003B393E">
        <w:rPr>
          <w:sz w:val="20"/>
          <w:szCs w:val="20"/>
        </w:rPr>
        <w:t>the goalposts moved</w:t>
      </w:r>
      <w:r w:rsidR="00A0030C">
        <w:rPr>
          <w:sz w:val="20"/>
          <w:szCs w:val="20"/>
        </w:rPr>
        <w:t xml:space="preserve">. One set of rules for consumers, and </w:t>
      </w:r>
      <w:r w:rsidR="0085452B">
        <w:rPr>
          <w:sz w:val="20"/>
          <w:szCs w:val="20"/>
        </w:rPr>
        <w:t>a better</w:t>
      </w:r>
      <w:r w:rsidR="00A0030C">
        <w:rPr>
          <w:sz w:val="20"/>
          <w:szCs w:val="20"/>
        </w:rPr>
        <w:t xml:space="preserve"> set of rules for </w:t>
      </w:r>
      <w:r w:rsidR="009845B4">
        <w:rPr>
          <w:sz w:val="20"/>
          <w:szCs w:val="20"/>
        </w:rPr>
        <w:t>the big guys.</w:t>
      </w:r>
    </w:p>
    <w:p w:rsidR="00FC783F" w:rsidRPr="00C34A47" w:rsidRDefault="00227232" w:rsidP="00BA37C3">
      <w:pPr>
        <w:rPr>
          <w:b/>
          <w:sz w:val="20"/>
          <w:szCs w:val="20"/>
          <w:u w:val="single"/>
        </w:rPr>
      </w:pPr>
      <w:r>
        <w:rPr>
          <w:b/>
          <w:sz w:val="20"/>
          <w:szCs w:val="20"/>
          <w:u w:val="single"/>
        </w:rPr>
        <w:t>The Australian electricity system is too small to invest in – and this is a good thing for Australia</w:t>
      </w:r>
    </w:p>
    <w:p w:rsidR="00E61006" w:rsidRDefault="003B393E" w:rsidP="00BA37C3">
      <w:pPr>
        <w:rPr>
          <w:sz w:val="20"/>
          <w:szCs w:val="20"/>
        </w:rPr>
      </w:pPr>
      <w:r>
        <w:rPr>
          <w:sz w:val="20"/>
          <w:szCs w:val="20"/>
        </w:rPr>
        <w:t xml:space="preserve">The NEM currently enjoys an international competitive advantage as a good example of a “perfect competition” energy-only market dealing reasonably well with very high renewable </w:t>
      </w:r>
      <w:r w:rsidR="00E009B9">
        <w:rPr>
          <w:sz w:val="20"/>
          <w:szCs w:val="20"/>
        </w:rPr>
        <w:t xml:space="preserve">energy </w:t>
      </w:r>
      <w:r>
        <w:rPr>
          <w:sz w:val="20"/>
          <w:szCs w:val="20"/>
        </w:rPr>
        <w:t>penetration. This is not to be taken for granted – the NEM is special</w:t>
      </w:r>
      <w:r w:rsidR="00E61006">
        <w:rPr>
          <w:sz w:val="20"/>
          <w:szCs w:val="20"/>
        </w:rPr>
        <w:t xml:space="preserve"> among economic structures underpinning efficient investment and operation of capital</w:t>
      </w:r>
      <w:r>
        <w:rPr>
          <w:sz w:val="20"/>
          <w:szCs w:val="20"/>
        </w:rPr>
        <w:t>.</w:t>
      </w:r>
      <w:r w:rsidR="00E61006">
        <w:rPr>
          <w:sz w:val="20"/>
          <w:szCs w:val="20"/>
        </w:rPr>
        <w:t xml:space="preserve"> It is not perfect, but it is very good. Reposit has achieved what it has because the NEM is well designed. </w:t>
      </w:r>
    </w:p>
    <w:p w:rsidR="00783DD1" w:rsidRDefault="00E61006" w:rsidP="00BA37C3">
      <w:pPr>
        <w:rPr>
          <w:sz w:val="20"/>
          <w:szCs w:val="20"/>
        </w:rPr>
      </w:pPr>
      <w:r>
        <w:rPr>
          <w:sz w:val="20"/>
          <w:szCs w:val="20"/>
        </w:rPr>
        <w:t xml:space="preserve">This is an unpopular opinion, but people who dislike the NEM confuse execution with intention. Reposit suggests that a lot of the problems in the NEM come from poor operation of the design – not from poor design. The design of the NEM is renewable-friendly. The design of the NEM is DER-friendly. And it is precisely because the NER does not </w:t>
      </w:r>
      <w:r w:rsidR="00FE0C19">
        <w:rPr>
          <w:sz w:val="20"/>
          <w:szCs w:val="20"/>
        </w:rPr>
        <w:t>specifically address renewables</w:t>
      </w:r>
      <w:r>
        <w:rPr>
          <w:sz w:val="20"/>
          <w:szCs w:val="20"/>
        </w:rPr>
        <w:t xml:space="preserve"> or DER</w:t>
      </w:r>
      <w:r w:rsidR="00FE0C19">
        <w:rPr>
          <w:sz w:val="20"/>
          <w:szCs w:val="20"/>
        </w:rPr>
        <w:t>,</w:t>
      </w:r>
      <w:r>
        <w:rPr>
          <w:sz w:val="20"/>
          <w:szCs w:val="20"/>
        </w:rPr>
        <w:t xml:space="preserve"> that it is </w:t>
      </w:r>
      <w:r w:rsidR="00783DD1">
        <w:rPr>
          <w:sz w:val="20"/>
          <w:szCs w:val="20"/>
        </w:rPr>
        <w:t>a good design</w:t>
      </w:r>
      <w:r>
        <w:rPr>
          <w:sz w:val="20"/>
          <w:szCs w:val="20"/>
        </w:rPr>
        <w:t xml:space="preserve">. </w:t>
      </w:r>
    </w:p>
    <w:p w:rsidR="00E61006" w:rsidRDefault="00E61006" w:rsidP="00BA37C3">
      <w:pPr>
        <w:rPr>
          <w:sz w:val="20"/>
          <w:szCs w:val="20"/>
        </w:rPr>
      </w:pPr>
      <w:r>
        <w:rPr>
          <w:sz w:val="20"/>
          <w:szCs w:val="20"/>
        </w:rPr>
        <w:t xml:space="preserve">The NEM design </w:t>
      </w:r>
      <w:r w:rsidR="00783DD1">
        <w:rPr>
          <w:sz w:val="20"/>
          <w:szCs w:val="20"/>
        </w:rPr>
        <w:t>follows the principle that “</w:t>
      </w:r>
      <w:r w:rsidR="00783DD1" w:rsidRPr="00783DD1">
        <w:rPr>
          <w:sz w:val="20"/>
          <w:szCs w:val="20"/>
        </w:rPr>
        <w:t>Everything should be made as simple as possible, but not simpler</w:t>
      </w:r>
      <w:r w:rsidR="00783DD1">
        <w:rPr>
          <w:sz w:val="20"/>
          <w:szCs w:val="20"/>
        </w:rPr>
        <w:t xml:space="preserve">”. This is very powerful because it means that technology, business models, operating processes and corporate strategy that are successful in the NEM have some chance of being successful in other, more </w:t>
      </w:r>
      <w:r w:rsidR="00227232">
        <w:rPr>
          <w:sz w:val="20"/>
          <w:szCs w:val="20"/>
        </w:rPr>
        <w:t>specific</w:t>
      </w:r>
      <w:r w:rsidR="00877AA8">
        <w:rPr>
          <w:sz w:val="20"/>
          <w:szCs w:val="20"/>
        </w:rPr>
        <w:t xml:space="preserve"> market designs</w:t>
      </w:r>
      <w:r w:rsidR="00783DD1">
        <w:rPr>
          <w:sz w:val="20"/>
          <w:szCs w:val="20"/>
        </w:rPr>
        <w:t xml:space="preserve">. The NEM design forces participants to focus on the essentials of </w:t>
      </w:r>
      <w:r w:rsidR="00114054">
        <w:rPr>
          <w:sz w:val="20"/>
          <w:szCs w:val="20"/>
        </w:rPr>
        <w:t>demand/supply balance, investment signals and efficient operation. And these are</w:t>
      </w:r>
      <w:r w:rsidR="00783DD1">
        <w:rPr>
          <w:sz w:val="20"/>
          <w:szCs w:val="20"/>
        </w:rPr>
        <w:t xml:space="preserve"> fundamental to every electricity system in the world. </w:t>
      </w:r>
      <w:r w:rsidR="00114054">
        <w:rPr>
          <w:sz w:val="20"/>
          <w:szCs w:val="20"/>
        </w:rPr>
        <w:t>This means that i</w:t>
      </w:r>
      <w:r w:rsidR="00783DD1">
        <w:rPr>
          <w:sz w:val="20"/>
          <w:szCs w:val="20"/>
        </w:rPr>
        <w:t xml:space="preserve">ntellectual property that functions well in the NEM is likely to be a </w:t>
      </w:r>
      <w:r w:rsidR="00114054">
        <w:rPr>
          <w:sz w:val="20"/>
          <w:szCs w:val="20"/>
        </w:rPr>
        <w:t xml:space="preserve">material </w:t>
      </w:r>
      <w:r w:rsidR="00783DD1">
        <w:rPr>
          <w:sz w:val="20"/>
          <w:szCs w:val="20"/>
        </w:rPr>
        <w:t xml:space="preserve">export </w:t>
      </w:r>
      <w:r w:rsidR="00114054">
        <w:rPr>
          <w:sz w:val="20"/>
          <w:szCs w:val="20"/>
        </w:rPr>
        <w:t xml:space="preserve">revenue </w:t>
      </w:r>
      <w:r w:rsidR="00783DD1">
        <w:rPr>
          <w:sz w:val="20"/>
          <w:szCs w:val="20"/>
        </w:rPr>
        <w:t>earner in the future.</w:t>
      </w:r>
    </w:p>
    <w:p w:rsidR="00114054" w:rsidRDefault="00114054" w:rsidP="00BA37C3">
      <w:pPr>
        <w:rPr>
          <w:sz w:val="20"/>
          <w:szCs w:val="20"/>
        </w:rPr>
      </w:pPr>
      <w:r>
        <w:rPr>
          <w:sz w:val="20"/>
          <w:szCs w:val="20"/>
        </w:rPr>
        <w:t>To create a DER-NEM, the new market structure will need to specify more things. Some of those t</w:t>
      </w:r>
      <w:r w:rsidR="00FE0C19">
        <w:rPr>
          <w:sz w:val="20"/>
          <w:szCs w:val="20"/>
        </w:rPr>
        <w:t>hings will be to the taste of some</w:t>
      </w:r>
      <w:r>
        <w:rPr>
          <w:sz w:val="20"/>
          <w:szCs w:val="20"/>
        </w:rPr>
        <w:t xml:space="preserve"> international market designer, and some will not. </w:t>
      </w:r>
      <w:r w:rsidR="0034568B">
        <w:rPr>
          <w:sz w:val="20"/>
          <w:szCs w:val="20"/>
        </w:rPr>
        <w:t>The more specific</w:t>
      </w:r>
      <w:r w:rsidR="00FE0C19">
        <w:rPr>
          <w:sz w:val="20"/>
          <w:szCs w:val="20"/>
        </w:rPr>
        <w:t xml:space="preserve"> the market design</w:t>
      </w:r>
      <w:r w:rsidR="0034568B">
        <w:rPr>
          <w:sz w:val="20"/>
          <w:szCs w:val="20"/>
        </w:rPr>
        <w:t xml:space="preserve">, the more “taste” will come into it. </w:t>
      </w:r>
      <w:r>
        <w:rPr>
          <w:sz w:val="20"/>
          <w:szCs w:val="20"/>
        </w:rPr>
        <w:t xml:space="preserve">But all market designers must deal with the fundamentals of demand/supply balance, investment signals and efficient operation. Participants in the DER-NEM will have to build technology </w:t>
      </w:r>
      <w:r w:rsidR="00877AA8">
        <w:rPr>
          <w:sz w:val="20"/>
          <w:szCs w:val="20"/>
        </w:rPr>
        <w:t>that is very specific to the Australian</w:t>
      </w:r>
      <w:r>
        <w:rPr>
          <w:sz w:val="20"/>
          <w:szCs w:val="20"/>
        </w:rPr>
        <w:t xml:space="preserve"> market, with little hope of </w:t>
      </w:r>
      <w:r w:rsidR="00877AA8">
        <w:rPr>
          <w:sz w:val="20"/>
          <w:szCs w:val="20"/>
        </w:rPr>
        <w:t xml:space="preserve">most of </w:t>
      </w:r>
      <w:r>
        <w:rPr>
          <w:sz w:val="20"/>
          <w:szCs w:val="20"/>
        </w:rPr>
        <w:t>that technology being implementable internationally. Reposit suggests that Australia doesn’t present a large enough market to support that investment proposition.</w:t>
      </w:r>
    </w:p>
    <w:p w:rsidR="0093509A" w:rsidRDefault="00114054" w:rsidP="00BA37C3">
      <w:pPr>
        <w:rPr>
          <w:sz w:val="20"/>
          <w:szCs w:val="20"/>
        </w:rPr>
      </w:pPr>
      <w:r>
        <w:rPr>
          <w:sz w:val="20"/>
          <w:szCs w:val="20"/>
        </w:rPr>
        <w:t>But more importantly,</w:t>
      </w:r>
      <w:r w:rsidR="00FE0C19">
        <w:rPr>
          <w:sz w:val="20"/>
          <w:szCs w:val="20"/>
        </w:rPr>
        <w:t xml:space="preserve"> when</w:t>
      </w:r>
      <w:r>
        <w:rPr>
          <w:sz w:val="20"/>
          <w:szCs w:val="20"/>
        </w:rPr>
        <w:t xml:space="preserve"> </w:t>
      </w:r>
      <w:r w:rsidR="00FE0C19">
        <w:rPr>
          <w:sz w:val="20"/>
          <w:szCs w:val="20"/>
        </w:rPr>
        <w:t xml:space="preserve">treated sensitively, </w:t>
      </w:r>
      <w:r>
        <w:rPr>
          <w:sz w:val="20"/>
          <w:szCs w:val="20"/>
        </w:rPr>
        <w:t>Australia’s market design can continue to be the catalyst for investment in intellectual property that underpins the global transition to renewables. Reposit suggests that not</w:t>
      </w:r>
      <w:r w:rsidR="0034568B">
        <w:rPr>
          <w:sz w:val="20"/>
          <w:szCs w:val="20"/>
        </w:rPr>
        <w:t xml:space="preserve"> only would the DER-NEM fail to attract strong participation due to ROI concerns, but it would also cause Australian and International companies to abandon the Australian market for</w:t>
      </w:r>
      <w:r w:rsidR="00FE0C19">
        <w:rPr>
          <w:sz w:val="20"/>
          <w:szCs w:val="20"/>
        </w:rPr>
        <w:t xml:space="preserve"> much larger ones, or those with a </w:t>
      </w:r>
      <w:r w:rsidR="0034568B">
        <w:rPr>
          <w:sz w:val="20"/>
          <w:szCs w:val="20"/>
        </w:rPr>
        <w:t xml:space="preserve">more </w:t>
      </w:r>
      <w:r w:rsidR="0034568B">
        <w:rPr>
          <w:sz w:val="20"/>
          <w:szCs w:val="20"/>
        </w:rPr>
        <w:lastRenderedPageBreak/>
        <w:t>globally applicable (read: less specific) market design.</w:t>
      </w:r>
      <w:r>
        <w:rPr>
          <w:sz w:val="20"/>
          <w:szCs w:val="20"/>
        </w:rPr>
        <w:t xml:space="preserve"> </w:t>
      </w:r>
      <w:r w:rsidR="00227232">
        <w:rPr>
          <w:sz w:val="20"/>
          <w:szCs w:val="20"/>
        </w:rPr>
        <w:t>Any potential export revenues w</w:t>
      </w:r>
      <w:r w:rsidR="00FE0C19">
        <w:rPr>
          <w:sz w:val="20"/>
          <w:szCs w:val="20"/>
        </w:rPr>
        <w:t>ill</w:t>
      </w:r>
      <w:r w:rsidR="00227232">
        <w:rPr>
          <w:sz w:val="20"/>
          <w:szCs w:val="20"/>
        </w:rPr>
        <w:t xml:space="preserve"> evaporate, the </w:t>
      </w:r>
      <w:r w:rsidR="0093509A">
        <w:rPr>
          <w:sz w:val="20"/>
          <w:szCs w:val="20"/>
        </w:rPr>
        <w:t xml:space="preserve">excellent </w:t>
      </w:r>
      <w:r w:rsidR="00227232">
        <w:rPr>
          <w:sz w:val="20"/>
          <w:szCs w:val="20"/>
        </w:rPr>
        <w:t>young talent that Australia has built</w:t>
      </w:r>
      <w:r w:rsidR="0093509A">
        <w:rPr>
          <w:sz w:val="20"/>
          <w:szCs w:val="20"/>
        </w:rPr>
        <w:t xml:space="preserve"> up</w:t>
      </w:r>
      <w:r w:rsidR="00227232">
        <w:rPr>
          <w:sz w:val="20"/>
          <w:szCs w:val="20"/>
        </w:rPr>
        <w:t xml:space="preserve"> in </w:t>
      </w:r>
      <w:r w:rsidR="0093509A">
        <w:rPr>
          <w:sz w:val="20"/>
          <w:szCs w:val="20"/>
        </w:rPr>
        <w:t>the NEM will migrate away from Australia to make their fortunes, and Australia will be left importing second rate technology and attempting to tailor it for its specific</w:t>
      </w:r>
      <w:r w:rsidR="00877AA8">
        <w:rPr>
          <w:sz w:val="20"/>
          <w:szCs w:val="20"/>
        </w:rPr>
        <w:t xml:space="preserve"> and</w:t>
      </w:r>
      <w:r w:rsidR="0093509A">
        <w:rPr>
          <w:sz w:val="20"/>
          <w:szCs w:val="20"/>
        </w:rPr>
        <w:t xml:space="preserve"> small market. In short, if the DER-NEM cannot be successfully exported to other countries as a market design, it will act as a drag on Australian international competitiveness in energy technology.</w:t>
      </w:r>
    </w:p>
    <w:p w:rsidR="003B393E" w:rsidRPr="00CF005A" w:rsidRDefault="0093509A" w:rsidP="00BA37C3">
      <w:pPr>
        <w:rPr>
          <w:sz w:val="20"/>
          <w:szCs w:val="20"/>
        </w:rPr>
      </w:pPr>
      <w:r>
        <w:rPr>
          <w:sz w:val="20"/>
          <w:szCs w:val="20"/>
        </w:rPr>
        <w:t>Instead, Reposit would like to assist regulators and market designers to address the shortcomings of the NEM with an eye to Australia being the dominant global player in renewable energy technology. As a nation we have all of the necessary ingredients, and w</w:t>
      </w:r>
      <w:r w:rsidR="00FE0C19">
        <w:rPr>
          <w:sz w:val="20"/>
          <w:szCs w:val="20"/>
        </w:rPr>
        <w:t>e have a substantial head start. W</w:t>
      </w:r>
      <w:r>
        <w:rPr>
          <w:sz w:val="20"/>
          <w:szCs w:val="20"/>
        </w:rPr>
        <w:t xml:space="preserve">e just need to remember that </w:t>
      </w:r>
      <w:r w:rsidR="00FE0C19">
        <w:rPr>
          <w:sz w:val="20"/>
          <w:szCs w:val="20"/>
        </w:rPr>
        <w:t xml:space="preserve">the </w:t>
      </w:r>
      <w:r>
        <w:rPr>
          <w:sz w:val="20"/>
          <w:szCs w:val="20"/>
        </w:rPr>
        <w:t>Australian grid is important, but it is not the final prize.</w:t>
      </w:r>
    </w:p>
    <w:p w:rsidR="00DF53ED" w:rsidRPr="00A55E01" w:rsidRDefault="00D130A9" w:rsidP="00BA37C3">
      <w:pPr>
        <w:rPr>
          <w:b/>
          <w:sz w:val="20"/>
          <w:szCs w:val="20"/>
          <w:u w:val="single"/>
        </w:rPr>
      </w:pPr>
      <w:r w:rsidRPr="00A55E01">
        <w:rPr>
          <w:b/>
          <w:sz w:val="20"/>
          <w:szCs w:val="20"/>
          <w:u w:val="single"/>
        </w:rPr>
        <w:t>Continued Engagement</w:t>
      </w:r>
    </w:p>
    <w:p w:rsidR="0085452B" w:rsidRDefault="00B5328E" w:rsidP="00627945">
      <w:pPr>
        <w:rPr>
          <w:sz w:val="20"/>
          <w:szCs w:val="20"/>
        </w:rPr>
      </w:pPr>
      <w:r w:rsidRPr="00A55E01">
        <w:rPr>
          <w:sz w:val="20"/>
          <w:szCs w:val="20"/>
        </w:rPr>
        <w:t xml:space="preserve">It is clear that </w:t>
      </w:r>
      <w:r w:rsidR="0085452B">
        <w:rPr>
          <w:sz w:val="20"/>
          <w:szCs w:val="20"/>
        </w:rPr>
        <w:t>the ESB</w:t>
      </w:r>
      <w:r w:rsidRPr="00A55E01">
        <w:rPr>
          <w:sz w:val="20"/>
          <w:szCs w:val="20"/>
        </w:rPr>
        <w:t xml:space="preserve"> is genuinely </w:t>
      </w:r>
      <w:r w:rsidR="0085452B">
        <w:rPr>
          <w:sz w:val="20"/>
          <w:szCs w:val="20"/>
        </w:rPr>
        <w:t xml:space="preserve">interested in </w:t>
      </w:r>
      <w:r w:rsidR="00877AA8">
        <w:rPr>
          <w:sz w:val="20"/>
          <w:szCs w:val="20"/>
        </w:rPr>
        <w:t>improving</w:t>
      </w:r>
      <w:r w:rsidR="0085452B">
        <w:rPr>
          <w:sz w:val="20"/>
          <w:szCs w:val="20"/>
        </w:rPr>
        <w:t xml:space="preserve"> the NEM. Reposit was founded for the same reason in 2013. We have though</w:t>
      </w:r>
      <w:r w:rsidR="00C56CAA">
        <w:rPr>
          <w:sz w:val="20"/>
          <w:szCs w:val="20"/>
        </w:rPr>
        <w:t>t</w:t>
      </w:r>
      <w:r w:rsidR="0085452B">
        <w:rPr>
          <w:sz w:val="20"/>
          <w:szCs w:val="20"/>
        </w:rPr>
        <w:t xml:space="preserve"> deeply about the energy transition for networks, generators, regulators and consumers. We have made millions of dollars of investment in the process, spoken to countless people, introduced and removed products from the market, and</w:t>
      </w:r>
      <w:r w:rsidR="00FE0C19">
        <w:rPr>
          <w:sz w:val="20"/>
          <w:szCs w:val="20"/>
        </w:rPr>
        <w:t xml:space="preserve"> today</w:t>
      </w:r>
      <w:r w:rsidR="0085452B">
        <w:rPr>
          <w:sz w:val="20"/>
          <w:szCs w:val="20"/>
        </w:rPr>
        <w:t xml:space="preserve"> actively control thousands of DER endpoints.</w:t>
      </w:r>
    </w:p>
    <w:p w:rsidR="00B5328E" w:rsidRPr="00A55E01" w:rsidRDefault="00B5328E" w:rsidP="00627945">
      <w:pPr>
        <w:rPr>
          <w:sz w:val="20"/>
          <w:szCs w:val="20"/>
        </w:rPr>
      </w:pPr>
      <w:r w:rsidRPr="00A55E01">
        <w:rPr>
          <w:sz w:val="20"/>
          <w:szCs w:val="20"/>
        </w:rPr>
        <w:t xml:space="preserve">Reposit would welcome the opportunity to more fully discuss </w:t>
      </w:r>
      <w:r w:rsidR="0085452B">
        <w:rPr>
          <w:sz w:val="20"/>
          <w:szCs w:val="20"/>
        </w:rPr>
        <w:t>DER in the NEM with the ESB in the future.</w:t>
      </w:r>
    </w:p>
    <w:p w:rsidR="00DF53ED" w:rsidRPr="00A55E01" w:rsidRDefault="00D130A9" w:rsidP="00627945">
      <w:pPr>
        <w:rPr>
          <w:sz w:val="20"/>
          <w:szCs w:val="20"/>
        </w:rPr>
      </w:pPr>
      <w:r w:rsidRPr="00A55E01">
        <w:rPr>
          <w:sz w:val="20"/>
          <w:szCs w:val="20"/>
        </w:rPr>
        <w:t>Kind Regards</w:t>
      </w:r>
      <w:r w:rsidR="00503380" w:rsidRPr="00A55E01">
        <w:rPr>
          <w:sz w:val="20"/>
          <w:szCs w:val="20"/>
        </w:rPr>
        <w:t>,</w:t>
      </w:r>
    </w:p>
    <w:p w:rsidR="00DF53ED" w:rsidRPr="00A55E01" w:rsidRDefault="00DF53ED">
      <w:pPr>
        <w:ind w:left="76"/>
        <w:rPr>
          <w:sz w:val="20"/>
          <w:szCs w:val="20"/>
        </w:rPr>
      </w:pPr>
    </w:p>
    <w:p w:rsidR="00DF53ED" w:rsidRPr="00A55E01" w:rsidRDefault="00D130A9">
      <w:pPr>
        <w:spacing w:after="0"/>
        <w:ind w:left="76"/>
        <w:rPr>
          <w:b/>
          <w:sz w:val="20"/>
          <w:szCs w:val="20"/>
        </w:rPr>
      </w:pPr>
      <w:r w:rsidRPr="00A55E01">
        <w:rPr>
          <w:b/>
          <w:sz w:val="20"/>
          <w:szCs w:val="20"/>
        </w:rPr>
        <w:t xml:space="preserve">Dean </w:t>
      </w:r>
      <w:proofErr w:type="spellStart"/>
      <w:r w:rsidRPr="00A55E01">
        <w:rPr>
          <w:b/>
          <w:sz w:val="20"/>
          <w:szCs w:val="20"/>
        </w:rPr>
        <w:t>Spaccavento</w:t>
      </w:r>
      <w:proofErr w:type="spellEnd"/>
    </w:p>
    <w:p w:rsidR="00DF53ED" w:rsidRPr="00A55E01" w:rsidRDefault="00D130A9">
      <w:pPr>
        <w:spacing w:after="0"/>
        <w:ind w:left="76"/>
        <w:rPr>
          <w:sz w:val="20"/>
          <w:szCs w:val="20"/>
        </w:rPr>
      </w:pPr>
      <w:bookmarkStart w:id="1" w:name="_heading=h.gjdgxs" w:colFirst="0" w:colLast="0"/>
      <w:bookmarkEnd w:id="1"/>
      <w:r w:rsidRPr="00A55E01">
        <w:rPr>
          <w:sz w:val="20"/>
          <w:szCs w:val="20"/>
        </w:rPr>
        <w:t xml:space="preserve">CEO </w:t>
      </w:r>
    </w:p>
    <w:sectPr w:rsidR="00DF53ED" w:rsidRPr="00A55E01" w:rsidSect="00FA6D7E">
      <w:footerReference w:type="default" r:id="rId10"/>
      <w:headerReference w:type="first" r:id="rId11"/>
      <w:footerReference w:type="first" r:id="rId12"/>
      <w:pgSz w:w="11907" w:h="16839"/>
      <w:pgMar w:top="1800" w:right="1559" w:bottom="1800" w:left="1800" w:header="720" w:footer="360" w:gutter="0"/>
      <w:pgNumType w:start="1"/>
      <w:cols w:space="720"/>
      <w:titlePg/>
      <w:docGrid w:linePitch="2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528C" w:rsidRDefault="0088528C">
      <w:pPr>
        <w:spacing w:after="0"/>
      </w:pPr>
      <w:r>
        <w:separator/>
      </w:r>
    </w:p>
  </w:endnote>
  <w:endnote w:type="continuationSeparator" w:id="0">
    <w:p w:rsidR="0088528C" w:rsidRDefault="0088528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0000000000000000000"/>
    <w:charset w:val="02"/>
    <w:family w:val="auto"/>
    <w:pitch w:val="variable"/>
    <w:sig w:usb0="00000000" w:usb1="10000000" w:usb2="00000000" w:usb3="00000000" w:csb0="80000000" w:csb1="00000000"/>
  </w:font>
  <w:font w:name="Raleway">
    <w:panose1 w:val="020B0503030101060003"/>
    <w:charset w:val="00"/>
    <w:family w:val="swiss"/>
    <w:pitch w:val="variable"/>
    <w:sig w:usb0="A00002FF" w:usb1="5000205B" w:usb2="00000000" w:usb3="00000000" w:csb0="00000097"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800022EF" w:usb1="C000205A" w:usb2="00000008" w:usb3="00000000" w:csb0="0000005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CB9" w:rsidRDefault="004D7CB9">
    <w:pPr>
      <w:widowControl w:val="0"/>
      <w:pBdr>
        <w:top w:val="nil"/>
        <w:left w:val="nil"/>
        <w:bottom w:val="nil"/>
        <w:right w:val="nil"/>
        <w:between w:val="nil"/>
      </w:pBdr>
      <w:spacing w:after="0" w:line="276" w:lineRule="auto"/>
      <w:ind w:left="7200"/>
    </w:pPr>
    <w:r>
      <w:t xml:space="preserve">Page </w:t>
    </w:r>
    <w:r>
      <w:fldChar w:fldCharType="begin"/>
    </w:r>
    <w:r>
      <w:instrText>PAGE</w:instrText>
    </w:r>
    <w:r>
      <w:fldChar w:fldCharType="separate"/>
    </w:r>
    <w:r w:rsidR="00FE0C19">
      <w:rPr>
        <w:noProof/>
      </w:rPr>
      <w:t>2</w:t>
    </w:r>
    <w:r>
      <w:fldChar w:fldCharType="end"/>
    </w:r>
    <w:r>
      <w:t xml:space="preserve"> of </w:t>
    </w:r>
    <w:r>
      <w:fldChar w:fldCharType="begin"/>
    </w:r>
    <w:r>
      <w:instrText>NUMPAGES</w:instrText>
    </w:r>
    <w:r>
      <w:fldChar w:fldCharType="separate"/>
    </w:r>
    <w:r w:rsidR="00FE0C19">
      <w:rPr>
        <w:noProof/>
      </w:rPr>
      <w:t>5</w:t>
    </w:r>
    <w:r>
      <w:fldChar w:fldCharType="end"/>
    </w:r>
  </w:p>
  <w:tbl>
    <w:tblPr>
      <w:tblStyle w:val="a0"/>
      <w:tblW w:w="8460" w:type="dxa"/>
      <w:tblInd w:w="-108" w:type="dxa"/>
      <w:tblBorders>
        <w:top w:val="nil"/>
        <w:left w:val="nil"/>
        <w:bottom w:val="nil"/>
        <w:right w:val="nil"/>
        <w:insideH w:val="nil"/>
        <w:insideV w:val="nil"/>
      </w:tblBorders>
      <w:tblLayout w:type="fixed"/>
      <w:tblLook w:val="04A0" w:firstRow="1" w:lastRow="0" w:firstColumn="1" w:lastColumn="0" w:noHBand="0" w:noVBand="1"/>
    </w:tblPr>
    <w:tblGrid>
      <w:gridCol w:w="2765"/>
      <w:gridCol w:w="2766"/>
      <w:gridCol w:w="2929"/>
    </w:tblGrid>
    <w:tr w:rsidR="004D7CB9" w:rsidTr="00DF53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65" w:type="dxa"/>
          <w:tcBorders>
            <w:top w:val="nil"/>
            <w:left w:val="nil"/>
            <w:bottom w:val="nil"/>
          </w:tcBorders>
          <w:shd w:val="clear" w:color="auto" w:fill="auto"/>
          <w:tcMar>
            <w:left w:w="0" w:type="dxa"/>
            <w:right w:w="115" w:type="dxa"/>
          </w:tcMar>
          <w:vAlign w:val="center"/>
        </w:tcPr>
        <w:p w:rsidR="004D7CB9" w:rsidRPr="00535338" w:rsidRDefault="004D7CB9">
          <w:pPr>
            <w:pBdr>
              <w:top w:val="nil"/>
              <w:left w:val="nil"/>
              <w:bottom w:val="nil"/>
              <w:right w:val="nil"/>
              <w:between w:val="nil"/>
            </w:pBdr>
            <w:tabs>
              <w:tab w:val="center" w:pos="4680"/>
              <w:tab w:val="right" w:pos="9360"/>
            </w:tabs>
            <w:rPr>
              <w:color w:val="7F7F7F" w:themeColor="text1" w:themeTint="80"/>
              <w:sz w:val="17"/>
              <w:szCs w:val="17"/>
            </w:rPr>
          </w:pPr>
          <w:r w:rsidRPr="00535338">
            <w:rPr>
              <w:b w:val="0"/>
              <w:color w:val="7F7F7F" w:themeColor="text1" w:themeTint="80"/>
              <w:sz w:val="17"/>
              <w:szCs w:val="17"/>
            </w:rPr>
            <w:t>1800 773 851</w:t>
          </w:r>
        </w:p>
        <w:p w:rsidR="004D7CB9" w:rsidRPr="00535338" w:rsidRDefault="004D7CB9">
          <w:pPr>
            <w:pBdr>
              <w:top w:val="nil"/>
              <w:left w:val="nil"/>
              <w:bottom w:val="nil"/>
              <w:right w:val="nil"/>
              <w:between w:val="nil"/>
            </w:pBdr>
            <w:tabs>
              <w:tab w:val="center" w:pos="4680"/>
              <w:tab w:val="right" w:pos="9360"/>
            </w:tabs>
            <w:rPr>
              <w:color w:val="7F7F7F" w:themeColor="text1" w:themeTint="80"/>
              <w:sz w:val="17"/>
              <w:szCs w:val="17"/>
            </w:rPr>
          </w:pPr>
          <w:r w:rsidRPr="00535338">
            <w:rPr>
              <w:b w:val="0"/>
              <w:color w:val="7F7F7F" w:themeColor="text1" w:themeTint="80"/>
              <w:sz w:val="17"/>
              <w:szCs w:val="17"/>
            </w:rPr>
            <w:t>info@repositpower.com</w:t>
          </w:r>
        </w:p>
      </w:tc>
      <w:tc>
        <w:tcPr>
          <w:tcW w:w="2766" w:type="dxa"/>
          <w:tcBorders>
            <w:top w:val="nil"/>
            <w:bottom w:val="nil"/>
          </w:tcBorders>
          <w:shd w:val="clear" w:color="auto" w:fill="auto"/>
          <w:vAlign w:val="center"/>
        </w:tcPr>
        <w:p w:rsidR="004D7CB9" w:rsidRPr="00535338" w:rsidRDefault="004D7CB9">
          <w:pPr>
            <w:pBdr>
              <w:top w:val="nil"/>
              <w:left w:val="nil"/>
              <w:bottom w:val="nil"/>
              <w:right w:val="nil"/>
              <w:between w:val="nil"/>
            </w:pBdr>
            <w:tabs>
              <w:tab w:val="center" w:pos="4680"/>
              <w:tab w:val="right" w:pos="9360"/>
            </w:tabs>
            <w:cnfStyle w:val="100000000000" w:firstRow="1" w:lastRow="0" w:firstColumn="0" w:lastColumn="0" w:oddVBand="0" w:evenVBand="0" w:oddHBand="0" w:evenHBand="0" w:firstRowFirstColumn="0" w:firstRowLastColumn="0" w:lastRowFirstColumn="0" w:lastRowLastColumn="0"/>
            <w:rPr>
              <w:color w:val="7F7F7F" w:themeColor="text1" w:themeTint="80"/>
              <w:sz w:val="17"/>
              <w:szCs w:val="17"/>
            </w:rPr>
          </w:pPr>
          <w:r w:rsidRPr="00535338">
            <w:rPr>
              <w:b w:val="0"/>
              <w:color w:val="7F7F7F" w:themeColor="text1" w:themeTint="80"/>
              <w:sz w:val="17"/>
              <w:szCs w:val="17"/>
            </w:rPr>
            <w:t>Unit 17/2 Yallourn St,</w:t>
          </w:r>
        </w:p>
        <w:p w:rsidR="004D7CB9" w:rsidRPr="00535338" w:rsidRDefault="004D7CB9">
          <w:pPr>
            <w:pBdr>
              <w:top w:val="nil"/>
              <w:left w:val="nil"/>
              <w:bottom w:val="nil"/>
              <w:right w:val="nil"/>
              <w:between w:val="nil"/>
            </w:pBdr>
            <w:tabs>
              <w:tab w:val="center" w:pos="4680"/>
              <w:tab w:val="right" w:pos="9360"/>
            </w:tabs>
            <w:cnfStyle w:val="100000000000" w:firstRow="1" w:lastRow="0" w:firstColumn="0" w:lastColumn="0" w:oddVBand="0" w:evenVBand="0" w:oddHBand="0" w:evenHBand="0" w:firstRowFirstColumn="0" w:firstRowLastColumn="0" w:lastRowFirstColumn="0" w:lastRowLastColumn="0"/>
            <w:rPr>
              <w:color w:val="7F7F7F" w:themeColor="text1" w:themeTint="80"/>
              <w:sz w:val="17"/>
              <w:szCs w:val="17"/>
            </w:rPr>
          </w:pPr>
          <w:r w:rsidRPr="00535338">
            <w:rPr>
              <w:b w:val="0"/>
              <w:color w:val="7F7F7F" w:themeColor="text1" w:themeTint="80"/>
              <w:sz w:val="17"/>
              <w:szCs w:val="17"/>
            </w:rPr>
            <w:t>Fyshwick ACT 2609</w:t>
          </w:r>
        </w:p>
      </w:tc>
      <w:tc>
        <w:tcPr>
          <w:tcW w:w="2929" w:type="dxa"/>
          <w:tcBorders>
            <w:top w:val="nil"/>
            <w:bottom w:val="nil"/>
            <w:right w:val="nil"/>
          </w:tcBorders>
          <w:shd w:val="clear" w:color="auto" w:fill="auto"/>
          <w:vAlign w:val="center"/>
        </w:tcPr>
        <w:p w:rsidR="004D7CB9" w:rsidRDefault="004D7CB9">
          <w:pPr>
            <w:pBdr>
              <w:top w:val="nil"/>
              <w:left w:val="nil"/>
              <w:bottom w:val="nil"/>
              <w:right w:val="nil"/>
              <w:between w:val="nil"/>
            </w:pBdr>
            <w:tabs>
              <w:tab w:val="center" w:pos="4680"/>
              <w:tab w:val="right" w:pos="9360"/>
            </w:tabs>
            <w:jc w:val="right"/>
            <w:cnfStyle w:val="100000000000" w:firstRow="1" w:lastRow="0" w:firstColumn="0" w:lastColumn="0" w:oddVBand="0" w:evenVBand="0" w:oddHBand="0" w:evenHBand="0" w:firstRowFirstColumn="0" w:firstRowLastColumn="0" w:lastRowFirstColumn="0" w:lastRowLastColumn="0"/>
            <w:rPr>
              <w:sz w:val="24"/>
              <w:szCs w:val="24"/>
            </w:rPr>
          </w:pPr>
          <w:r>
            <w:rPr>
              <w:b w:val="0"/>
              <w:color w:val="45A9D3"/>
              <w:sz w:val="24"/>
              <w:szCs w:val="24"/>
            </w:rPr>
            <w:t>repositpower.com</w:t>
          </w:r>
        </w:p>
      </w:tc>
    </w:tr>
  </w:tbl>
  <w:p w:rsidR="004D7CB9" w:rsidRDefault="004D7CB9">
    <w:pPr>
      <w:pBdr>
        <w:top w:val="nil"/>
        <w:left w:val="nil"/>
        <w:bottom w:val="nil"/>
        <w:right w:val="nil"/>
        <w:between w:val="nil"/>
      </w:pBdr>
      <w:tabs>
        <w:tab w:val="center" w:pos="4680"/>
        <w:tab w:val="right" w:pos="9360"/>
      </w:tabs>
      <w:spacing w:after="0"/>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CB9" w:rsidRDefault="004D7CB9">
    <w:pPr>
      <w:widowControl w:val="0"/>
      <w:pBdr>
        <w:top w:val="nil"/>
        <w:left w:val="nil"/>
        <w:bottom w:val="nil"/>
        <w:right w:val="nil"/>
        <w:between w:val="nil"/>
      </w:pBdr>
      <w:spacing w:after="0" w:line="276" w:lineRule="auto"/>
    </w:pPr>
  </w:p>
  <w:tbl>
    <w:tblPr>
      <w:tblStyle w:val="a1"/>
      <w:tblW w:w="8460" w:type="dxa"/>
      <w:tblInd w:w="-108" w:type="dxa"/>
      <w:tblBorders>
        <w:top w:val="nil"/>
        <w:left w:val="nil"/>
        <w:bottom w:val="nil"/>
        <w:right w:val="nil"/>
        <w:insideH w:val="nil"/>
        <w:insideV w:val="nil"/>
      </w:tblBorders>
      <w:tblLayout w:type="fixed"/>
      <w:tblLook w:val="04A0" w:firstRow="1" w:lastRow="0" w:firstColumn="1" w:lastColumn="0" w:noHBand="0" w:noVBand="1"/>
    </w:tblPr>
    <w:tblGrid>
      <w:gridCol w:w="2765"/>
      <w:gridCol w:w="2766"/>
      <w:gridCol w:w="2929"/>
    </w:tblGrid>
    <w:tr w:rsidR="004D7CB9" w:rsidTr="00DF53ED">
      <w:trPr>
        <w:cnfStyle w:val="100000000000" w:firstRow="1" w:lastRow="0" w:firstColumn="0" w:lastColumn="0" w:oddVBand="0" w:evenVBand="0" w:oddHBand="0" w:evenHBand="0" w:firstRowFirstColumn="0" w:firstRowLastColumn="0" w:lastRowFirstColumn="0" w:lastRowLastColumn="0"/>
        <w:trHeight w:val="435"/>
      </w:trPr>
      <w:tc>
        <w:tcPr>
          <w:cnfStyle w:val="001000000000" w:firstRow="0" w:lastRow="0" w:firstColumn="1" w:lastColumn="0" w:oddVBand="0" w:evenVBand="0" w:oddHBand="0" w:evenHBand="0" w:firstRowFirstColumn="0" w:firstRowLastColumn="0" w:lastRowFirstColumn="0" w:lastRowLastColumn="0"/>
          <w:tcW w:w="2765" w:type="dxa"/>
          <w:tcBorders>
            <w:top w:val="nil"/>
            <w:left w:val="nil"/>
            <w:bottom w:val="nil"/>
          </w:tcBorders>
          <w:shd w:val="clear" w:color="auto" w:fill="auto"/>
          <w:tcMar>
            <w:left w:w="0" w:type="dxa"/>
            <w:right w:w="115" w:type="dxa"/>
          </w:tcMar>
          <w:vAlign w:val="center"/>
        </w:tcPr>
        <w:p w:rsidR="004D7CB9" w:rsidRPr="00FA6D7E" w:rsidRDefault="004D7CB9">
          <w:pPr>
            <w:pBdr>
              <w:top w:val="nil"/>
              <w:left w:val="nil"/>
              <w:bottom w:val="nil"/>
              <w:right w:val="nil"/>
              <w:between w:val="nil"/>
            </w:pBdr>
            <w:tabs>
              <w:tab w:val="center" w:pos="4680"/>
              <w:tab w:val="right" w:pos="9360"/>
            </w:tabs>
            <w:rPr>
              <w:color w:val="7F7F7F" w:themeColor="text1" w:themeTint="80"/>
              <w:sz w:val="17"/>
              <w:szCs w:val="17"/>
            </w:rPr>
          </w:pPr>
          <w:r w:rsidRPr="00FA6D7E">
            <w:rPr>
              <w:b w:val="0"/>
              <w:color w:val="7F7F7F" w:themeColor="text1" w:themeTint="80"/>
              <w:sz w:val="17"/>
              <w:szCs w:val="17"/>
            </w:rPr>
            <w:t>1800 773 851</w:t>
          </w:r>
        </w:p>
        <w:p w:rsidR="004D7CB9" w:rsidRPr="00FA6D7E" w:rsidRDefault="004D7CB9">
          <w:pPr>
            <w:pBdr>
              <w:top w:val="nil"/>
              <w:left w:val="nil"/>
              <w:bottom w:val="nil"/>
              <w:right w:val="nil"/>
              <w:between w:val="nil"/>
            </w:pBdr>
            <w:tabs>
              <w:tab w:val="center" w:pos="4680"/>
              <w:tab w:val="right" w:pos="9360"/>
            </w:tabs>
            <w:rPr>
              <w:color w:val="7F7F7F" w:themeColor="text1" w:themeTint="80"/>
              <w:sz w:val="17"/>
              <w:szCs w:val="17"/>
            </w:rPr>
          </w:pPr>
          <w:r w:rsidRPr="00FA6D7E">
            <w:rPr>
              <w:b w:val="0"/>
              <w:color w:val="7F7F7F" w:themeColor="text1" w:themeTint="80"/>
              <w:sz w:val="17"/>
              <w:szCs w:val="17"/>
            </w:rPr>
            <w:t>info@repositpower.com</w:t>
          </w:r>
        </w:p>
      </w:tc>
      <w:tc>
        <w:tcPr>
          <w:tcW w:w="2766" w:type="dxa"/>
          <w:tcBorders>
            <w:top w:val="nil"/>
            <w:bottom w:val="nil"/>
          </w:tcBorders>
          <w:shd w:val="clear" w:color="auto" w:fill="auto"/>
          <w:vAlign w:val="center"/>
        </w:tcPr>
        <w:p w:rsidR="004D7CB9" w:rsidRPr="00FA6D7E" w:rsidRDefault="004D7CB9">
          <w:pPr>
            <w:pBdr>
              <w:top w:val="nil"/>
              <w:left w:val="nil"/>
              <w:bottom w:val="nil"/>
              <w:right w:val="nil"/>
              <w:between w:val="nil"/>
            </w:pBdr>
            <w:tabs>
              <w:tab w:val="center" w:pos="4680"/>
              <w:tab w:val="right" w:pos="9360"/>
            </w:tabs>
            <w:cnfStyle w:val="100000000000" w:firstRow="1" w:lastRow="0" w:firstColumn="0" w:lastColumn="0" w:oddVBand="0" w:evenVBand="0" w:oddHBand="0" w:evenHBand="0" w:firstRowFirstColumn="0" w:firstRowLastColumn="0" w:lastRowFirstColumn="0" w:lastRowLastColumn="0"/>
            <w:rPr>
              <w:color w:val="7F7F7F" w:themeColor="text1" w:themeTint="80"/>
              <w:sz w:val="17"/>
              <w:szCs w:val="17"/>
            </w:rPr>
          </w:pPr>
          <w:r w:rsidRPr="00FA6D7E">
            <w:rPr>
              <w:b w:val="0"/>
              <w:color w:val="7F7F7F" w:themeColor="text1" w:themeTint="80"/>
              <w:sz w:val="17"/>
              <w:szCs w:val="17"/>
            </w:rPr>
            <w:t>Unit 17/2 Yallourn St,</w:t>
          </w:r>
        </w:p>
        <w:p w:rsidR="004D7CB9" w:rsidRPr="00FA6D7E" w:rsidRDefault="004D7CB9">
          <w:pPr>
            <w:pBdr>
              <w:top w:val="nil"/>
              <w:left w:val="nil"/>
              <w:bottom w:val="nil"/>
              <w:right w:val="nil"/>
              <w:between w:val="nil"/>
            </w:pBdr>
            <w:tabs>
              <w:tab w:val="center" w:pos="4680"/>
              <w:tab w:val="right" w:pos="9360"/>
            </w:tabs>
            <w:cnfStyle w:val="100000000000" w:firstRow="1" w:lastRow="0" w:firstColumn="0" w:lastColumn="0" w:oddVBand="0" w:evenVBand="0" w:oddHBand="0" w:evenHBand="0" w:firstRowFirstColumn="0" w:firstRowLastColumn="0" w:lastRowFirstColumn="0" w:lastRowLastColumn="0"/>
            <w:rPr>
              <w:color w:val="7F7F7F" w:themeColor="text1" w:themeTint="80"/>
              <w:sz w:val="17"/>
              <w:szCs w:val="17"/>
            </w:rPr>
          </w:pPr>
          <w:r w:rsidRPr="00FA6D7E">
            <w:rPr>
              <w:b w:val="0"/>
              <w:color w:val="7F7F7F" w:themeColor="text1" w:themeTint="80"/>
              <w:sz w:val="17"/>
              <w:szCs w:val="17"/>
            </w:rPr>
            <w:t>Fyshwick ACT 2609</w:t>
          </w:r>
        </w:p>
      </w:tc>
      <w:tc>
        <w:tcPr>
          <w:tcW w:w="2929" w:type="dxa"/>
          <w:tcBorders>
            <w:top w:val="nil"/>
            <w:bottom w:val="nil"/>
            <w:right w:val="nil"/>
          </w:tcBorders>
          <w:shd w:val="clear" w:color="auto" w:fill="auto"/>
          <w:vAlign w:val="center"/>
        </w:tcPr>
        <w:p w:rsidR="004D7CB9" w:rsidRDefault="004D7CB9">
          <w:pPr>
            <w:pBdr>
              <w:top w:val="nil"/>
              <w:left w:val="nil"/>
              <w:bottom w:val="nil"/>
              <w:right w:val="nil"/>
              <w:between w:val="nil"/>
            </w:pBdr>
            <w:tabs>
              <w:tab w:val="center" w:pos="4680"/>
              <w:tab w:val="right" w:pos="9360"/>
            </w:tabs>
            <w:jc w:val="right"/>
            <w:cnfStyle w:val="100000000000" w:firstRow="1" w:lastRow="0" w:firstColumn="0" w:lastColumn="0" w:oddVBand="0" w:evenVBand="0" w:oddHBand="0" w:evenHBand="0" w:firstRowFirstColumn="0" w:firstRowLastColumn="0" w:lastRowFirstColumn="0" w:lastRowLastColumn="0"/>
            <w:rPr>
              <w:sz w:val="24"/>
              <w:szCs w:val="24"/>
            </w:rPr>
          </w:pPr>
          <w:r>
            <w:rPr>
              <w:b w:val="0"/>
              <w:color w:val="45A9D3"/>
              <w:sz w:val="24"/>
              <w:szCs w:val="24"/>
            </w:rPr>
            <w:t>repositpower.com</w:t>
          </w:r>
        </w:p>
      </w:tc>
    </w:tr>
  </w:tbl>
  <w:p w:rsidR="004D7CB9" w:rsidRDefault="004D7CB9">
    <w:pPr>
      <w:pBdr>
        <w:top w:val="nil"/>
        <w:left w:val="nil"/>
        <w:bottom w:val="nil"/>
        <w:right w:val="nil"/>
        <w:between w:val="nil"/>
      </w:pBdr>
      <w:tabs>
        <w:tab w:val="center" w:pos="4680"/>
        <w:tab w:val="right" w:pos="9360"/>
      </w:tabs>
      <w:spacing w:after="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528C" w:rsidRDefault="0088528C">
      <w:pPr>
        <w:spacing w:after="0"/>
      </w:pPr>
      <w:r>
        <w:separator/>
      </w:r>
    </w:p>
  </w:footnote>
  <w:footnote w:type="continuationSeparator" w:id="0">
    <w:p w:rsidR="0088528C" w:rsidRDefault="0088528C">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CB9" w:rsidRDefault="004D7CB9">
    <w:pPr>
      <w:pBdr>
        <w:top w:val="nil"/>
        <w:left w:val="nil"/>
        <w:bottom w:val="nil"/>
        <w:right w:val="nil"/>
        <w:between w:val="nil"/>
      </w:pBdr>
      <w:tabs>
        <w:tab w:val="center" w:pos="4680"/>
        <w:tab w:val="right" w:pos="9360"/>
      </w:tabs>
      <w:spacing w:after="0"/>
    </w:pPr>
    <w:r>
      <w:rPr>
        <w:noProof/>
        <w:lang w:val="en-AU"/>
      </w:rPr>
      <w:drawing>
        <wp:anchor distT="0" distB="0" distL="114300" distR="114300" simplePos="0" relativeHeight="251658240" behindDoc="0" locked="0" layoutInCell="1" hidden="0" allowOverlap="1" wp14:anchorId="52917440" wp14:editId="31259B76">
          <wp:simplePos x="0" y="0"/>
          <wp:positionH relativeFrom="column">
            <wp:posOffset>-895349</wp:posOffset>
          </wp:positionH>
          <wp:positionV relativeFrom="paragraph">
            <wp:posOffset>-266699</wp:posOffset>
          </wp:positionV>
          <wp:extent cx="2246630" cy="955501"/>
          <wp:effectExtent l="0" t="0" r="0" b="0"/>
          <wp:wrapNone/>
          <wp:docPr id="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46630" cy="955501"/>
                  </a:xfrm>
                  <a:prstGeom prst="rect">
                    <a:avLst/>
                  </a:prstGeom>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A7768"/>
    <w:multiLevelType w:val="multilevel"/>
    <w:tmpl w:val="3E42B566"/>
    <w:lvl w:ilvl="0">
      <w:start w:val="1"/>
      <w:numFmt w:val="decimal"/>
      <w:lvlText w:val="%1."/>
      <w:lvlJc w:val="left"/>
      <w:pPr>
        <w:ind w:left="436"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4B70CC7"/>
    <w:multiLevelType w:val="multilevel"/>
    <w:tmpl w:val="D7BCE9F6"/>
    <w:lvl w:ilvl="0">
      <w:start w:val="1"/>
      <w:numFmt w:val="decimal"/>
      <w:lvlText w:val="%1."/>
      <w:lvlJc w:val="left"/>
      <w:pPr>
        <w:ind w:left="436" w:hanging="360"/>
      </w:pPr>
    </w:lvl>
    <w:lvl w:ilvl="1">
      <w:start w:val="1"/>
      <w:numFmt w:val="lowerLetter"/>
      <w:lvlText w:val="%2."/>
      <w:lvlJc w:val="left"/>
      <w:pPr>
        <w:ind w:left="1478" w:hanging="360"/>
      </w:pPr>
    </w:lvl>
    <w:lvl w:ilvl="2">
      <w:start w:val="1"/>
      <w:numFmt w:val="lowerRoman"/>
      <w:lvlText w:val="%3."/>
      <w:lvlJc w:val="right"/>
      <w:pPr>
        <w:ind w:left="2198" w:hanging="180"/>
      </w:pPr>
    </w:lvl>
    <w:lvl w:ilvl="3">
      <w:start w:val="1"/>
      <w:numFmt w:val="decimal"/>
      <w:lvlText w:val="%4."/>
      <w:lvlJc w:val="left"/>
      <w:pPr>
        <w:ind w:left="2918" w:hanging="360"/>
      </w:pPr>
    </w:lvl>
    <w:lvl w:ilvl="4">
      <w:start w:val="1"/>
      <w:numFmt w:val="lowerLetter"/>
      <w:lvlText w:val="%5."/>
      <w:lvlJc w:val="left"/>
      <w:pPr>
        <w:ind w:left="3638" w:hanging="360"/>
      </w:pPr>
    </w:lvl>
    <w:lvl w:ilvl="5">
      <w:start w:val="1"/>
      <w:numFmt w:val="lowerRoman"/>
      <w:lvlText w:val="%6."/>
      <w:lvlJc w:val="right"/>
      <w:pPr>
        <w:ind w:left="4358" w:hanging="180"/>
      </w:pPr>
    </w:lvl>
    <w:lvl w:ilvl="6">
      <w:start w:val="1"/>
      <w:numFmt w:val="decimal"/>
      <w:lvlText w:val="%7."/>
      <w:lvlJc w:val="left"/>
      <w:pPr>
        <w:ind w:left="5078" w:hanging="360"/>
      </w:pPr>
    </w:lvl>
    <w:lvl w:ilvl="7">
      <w:start w:val="1"/>
      <w:numFmt w:val="lowerLetter"/>
      <w:lvlText w:val="%8."/>
      <w:lvlJc w:val="left"/>
      <w:pPr>
        <w:ind w:left="5798" w:hanging="360"/>
      </w:pPr>
    </w:lvl>
    <w:lvl w:ilvl="8">
      <w:start w:val="1"/>
      <w:numFmt w:val="lowerRoman"/>
      <w:lvlText w:val="%9."/>
      <w:lvlJc w:val="right"/>
      <w:pPr>
        <w:ind w:left="6518" w:hanging="180"/>
      </w:pPr>
    </w:lvl>
  </w:abstractNum>
  <w:abstractNum w:abstractNumId="2">
    <w:nsid w:val="189C53F7"/>
    <w:multiLevelType w:val="multilevel"/>
    <w:tmpl w:val="BFA47F38"/>
    <w:lvl w:ilvl="0">
      <w:start w:val="1"/>
      <w:numFmt w:val="decimal"/>
      <w:lvlText w:val="%1."/>
      <w:lvlJc w:val="left"/>
      <w:pPr>
        <w:ind w:left="436"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777049FA"/>
    <w:multiLevelType w:val="multilevel"/>
    <w:tmpl w:val="99280F08"/>
    <w:lvl w:ilvl="0">
      <w:start w:val="1"/>
      <w:numFmt w:val="decimal"/>
      <w:lvlText w:val="%1."/>
      <w:lvlJc w:val="left"/>
      <w:pPr>
        <w:ind w:left="398" w:hanging="360"/>
      </w:pPr>
    </w:lvl>
    <w:lvl w:ilvl="1">
      <w:start w:val="1"/>
      <w:numFmt w:val="lowerLetter"/>
      <w:lvlText w:val="%2."/>
      <w:lvlJc w:val="left"/>
      <w:pPr>
        <w:ind w:left="1118" w:hanging="360"/>
      </w:pPr>
    </w:lvl>
    <w:lvl w:ilvl="2">
      <w:start w:val="1"/>
      <w:numFmt w:val="lowerRoman"/>
      <w:lvlText w:val="%3."/>
      <w:lvlJc w:val="right"/>
      <w:pPr>
        <w:ind w:left="1838" w:hanging="180"/>
      </w:pPr>
    </w:lvl>
    <w:lvl w:ilvl="3">
      <w:start w:val="1"/>
      <w:numFmt w:val="decimal"/>
      <w:lvlText w:val="%4."/>
      <w:lvlJc w:val="left"/>
      <w:pPr>
        <w:ind w:left="2558" w:hanging="360"/>
      </w:pPr>
    </w:lvl>
    <w:lvl w:ilvl="4">
      <w:start w:val="1"/>
      <w:numFmt w:val="lowerLetter"/>
      <w:lvlText w:val="%5."/>
      <w:lvlJc w:val="left"/>
      <w:pPr>
        <w:ind w:left="3278" w:hanging="360"/>
      </w:pPr>
    </w:lvl>
    <w:lvl w:ilvl="5">
      <w:start w:val="1"/>
      <w:numFmt w:val="lowerRoman"/>
      <w:lvlText w:val="%6."/>
      <w:lvlJc w:val="right"/>
      <w:pPr>
        <w:ind w:left="3998" w:hanging="180"/>
      </w:pPr>
    </w:lvl>
    <w:lvl w:ilvl="6">
      <w:start w:val="1"/>
      <w:numFmt w:val="decimal"/>
      <w:lvlText w:val="%7."/>
      <w:lvlJc w:val="left"/>
      <w:pPr>
        <w:ind w:left="4718" w:hanging="360"/>
      </w:pPr>
    </w:lvl>
    <w:lvl w:ilvl="7">
      <w:start w:val="1"/>
      <w:numFmt w:val="lowerLetter"/>
      <w:lvlText w:val="%8."/>
      <w:lvlJc w:val="left"/>
      <w:pPr>
        <w:ind w:left="5438" w:hanging="360"/>
      </w:pPr>
    </w:lvl>
    <w:lvl w:ilvl="8">
      <w:start w:val="1"/>
      <w:numFmt w:val="lowerRoman"/>
      <w:lvlText w:val="%9."/>
      <w:lvlJc w:val="right"/>
      <w:pPr>
        <w:ind w:left="6158" w:hanging="180"/>
      </w:pPr>
    </w:lvl>
  </w:abstractNum>
  <w:abstractNum w:abstractNumId="4">
    <w:nsid w:val="7EE55A73"/>
    <w:multiLevelType w:val="hybridMultilevel"/>
    <w:tmpl w:val="4BE899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DF53ED"/>
    <w:rsid w:val="00000F0A"/>
    <w:rsid w:val="00044560"/>
    <w:rsid w:val="0004599B"/>
    <w:rsid w:val="000E313C"/>
    <w:rsid w:val="00103328"/>
    <w:rsid w:val="0010398B"/>
    <w:rsid w:val="00114054"/>
    <w:rsid w:val="0012279E"/>
    <w:rsid w:val="001506B3"/>
    <w:rsid w:val="001544C7"/>
    <w:rsid w:val="001641BC"/>
    <w:rsid w:val="001670C6"/>
    <w:rsid w:val="001979A7"/>
    <w:rsid w:val="001D1FC9"/>
    <w:rsid w:val="00227232"/>
    <w:rsid w:val="0023026F"/>
    <w:rsid w:val="002B171B"/>
    <w:rsid w:val="002E20C5"/>
    <w:rsid w:val="0034568B"/>
    <w:rsid w:val="003A10C6"/>
    <w:rsid w:val="003B393E"/>
    <w:rsid w:val="00400BEA"/>
    <w:rsid w:val="00416588"/>
    <w:rsid w:val="004328CF"/>
    <w:rsid w:val="00455853"/>
    <w:rsid w:val="00456F83"/>
    <w:rsid w:val="00461360"/>
    <w:rsid w:val="004A0BEF"/>
    <w:rsid w:val="004A2AC8"/>
    <w:rsid w:val="004D73F0"/>
    <w:rsid w:val="004D7CB9"/>
    <w:rsid w:val="00503380"/>
    <w:rsid w:val="00532BD1"/>
    <w:rsid w:val="00535338"/>
    <w:rsid w:val="00587147"/>
    <w:rsid w:val="005D1FF6"/>
    <w:rsid w:val="00617610"/>
    <w:rsid w:val="00627945"/>
    <w:rsid w:val="00650937"/>
    <w:rsid w:val="00662B2E"/>
    <w:rsid w:val="006A4874"/>
    <w:rsid w:val="0074322C"/>
    <w:rsid w:val="00771514"/>
    <w:rsid w:val="00783DD1"/>
    <w:rsid w:val="007844BB"/>
    <w:rsid w:val="00823E66"/>
    <w:rsid w:val="0085452B"/>
    <w:rsid w:val="00877AA8"/>
    <w:rsid w:val="00880775"/>
    <w:rsid w:val="0088528C"/>
    <w:rsid w:val="00920FE9"/>
    <w:rsid w:val="00922F28"/>
    <w:rsid w:val="00923317"/>
    <w:rsid w:val="0093401D"/>
    <w:rsid w:val="0093509A"/>
    <w:rsid w:val="00937B64"/>
    <w:rsid w:val="009845B4"/>
    <w:rsid w:val="00992DDF"/>
    <w:rsid w:val="009B7589"/>
    <w:rsid w:val="009C155D"/>
    <w:rsid w:val="009C7F84"/>
    <w:rsid w:val="00A0030C"/>
    <w:rsid w:val="00A07A85"/>
    <w:rsid w:val="00A5087D"/>
    <w:rsid w:val="00A554FA"/>
    <w:rsid w:val="00A55E01"/>
    <w:rsid w:val="00AD2E20"/>
    <w:rsid w:val="00B5328E"/>
    <w:rsid w:val="00B90FCA"/>
    <w:rsid w:val="00BA37C3"/>
    <w:rsid w:val="00C34A47"/>
    <w:rsid w:val="00C56CAA"/>
    <w:rsid w:val="00C92C8E"/>
    <w:rsid w:val="00C966C2"/>
    <w:rsid w:val="00CA5709"/>
    <w:rsid w:val="00CF005A"/>
    <w:rsid w:val="00D005C1"/>
    <w:rsid w:val="00D00FC5"/>
    <w:rsid w:val="00D107FF"/>
    <w:rsid w:val="00D13094"/>
    <w:rsid w:val="00D130A9"/>
    <w:rsid w:val="00D63C75"/>
    <w:rsid w:val="00DF53ED"/>
    <w:rsid w:val="00E009B9"/>
    <w:rsid w:val="00E246A8"/>
    <w:rsid w:val="00E34CBD"/>
    <w:rsid w:val="00E36D4F"/>
    <w:rsid w:val="00E531CA"/>
    <w:rsid w:val="00E61006"/>
    <w:rsid w:val="00E72B6D"/>
    <w:rsid w:val="00EC7341"/>
    <w:rsid w:val="00EE70D5"/>
    <w:rsid w:val="00F21B85"/>
    <w:rsid w:val="00F25A3A"/>
    <w:rsid w:val="00FA6D7E"/>
    <w:rsid w:val="00FC783F"/>
    <w:rsid w:val="00FE0C19"/>
    <w:rsid w:val="00FE0DB5"/>
    <w:rsid w:val="00FF7CAD"/>
  </w:rsids>
  <m:mathPr>
    <m:mathFont m:val="Cambria Math"/>
    <m:brkBin m:val="before"/>
    <m:brkBinSub m:val="--"/>
    <m:smallFrac m:val="0"/>
    <m:dispDef/>
    <m:lMargin m:val="0"/>
    <m:rMargin m:val="0"/>
    <m:defJc m:val="centerGroup"/>
    <m:wrapIndent m:val="1440"/>
    <m:intLim m:val="subSup"/>
    <m:naryLim m:val="undOvr"/>
  </m:mathPr>
  <w:themeFontLang w:val="en-AU"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Raleway" w:eastAsia="Raleway" w:hAnsi="Raleway" w:cs="Raleway"/>
        <w:color w:val="4D4D4F"/>
        <w:sz w:val="18"/>
        <w:szCs w:val="18"/>
        <w:lang w:val="en-US" w:eastAsia="en-AU" w:bidi="ar-SA"/>
      </w:rPr>
    </w:rPrDefault>
    <w:pPrDefault>
      <w:pPr>
        <w:spacing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41D2"/>
  </w:style>
  <w:style w:type="paragraph" w:styleId="Heading1">
    <w:name w:val="heading 1"/>
    <w:basedOn w:val="Normal"/>
    <w:next w:val="Normal"/>
    <w:link w:val="Heading1Char"/>
    <w:uiPriority w:val="9"/>
    <w:qFormat/>
    <w:rsid w:val="00842594"/>
    <w:pPr>
      <w:spacing w:before="480"/>
      <w:outlineLvl w:val="0"/>
    </w:pPr>
    <w:rPr>
      <w:rFonts w:asciiTheme="majorHAnsi" w:hAnsiTheme="majorHAnsi"/>
      <w:b/>
      <w:color w:val="45A9D3" w:themeColor="accent1"/>
      <w:sz w:val="48"/>
      <w:szCs w:val="48"/>
    </w:rPr>
  </w:style>
  <w:style w:type="paragraph" w:styleId="Heading2">
    <w:name w:val="heading 2"/>
    <w:basedOn w:val="Normal"/>
    <w:next w:val="Normal"/>
    <w:link w:val="Heading2Char"/>
    <w:uiPriority w:val="9"/>
    <w:unhideWhenUsed/>
    <w:qFormat/>
    <w:rsid w:val="00A66442"/>
    <w:pPr>
      <w:spacing w:before="480"/>
      <w:outlineLvl w:val="1"/>
    </w:pPr>
    <w:rPr>
      <w:b/>
      <w:color w:val="45A9D3" w:themeColor="accent1"/>
      <w:sz w:val="24"/>
      <w:szCs w:val="24"/>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rsid w:val="0076742A"/>
    <w:pPr>
      <w:tabs>
        <w:tab w:val="center" w:pos="4680"/>
        <w:tab w:val="right" w:pos="9360"/>
      </w:tabs>
      <w:spacing w:after="0"/>
    </w:pPr>
  </w:style>
  <w:style w:type="character" w:customStyle="1" w:styleId="HeaderChar">
    <w:name w:val="Header Char"/>
    <w:basedOn w:val="DefaultParagraphFont"/>
    <w:link w:val="Header"/>
    <w:uiPriority w:val="99"/>
    <w:rsid w:val="0076742A"/>
  </w:style>
  <w:style w:type="paragraph" w:styleId="Footer">
    <w:name w:val="footer"/>
    <w:basedOn w:val="Normal"/>
    <w:link w:val="FooterChar"/>
    <w:uiPriority w:val="99"/>
    <w:unhideWhenUsed/>
    <w:rsid w:val="00491126"/>
    <w:pPr>
      <w:tabs>
        <w:tab w:val="center" w:pos="4680"/>
        <w:tab w:val="right" w:pos="9360"/>
      </w:tabs>
      <w:spacing w:after="0"/>
    </w:pPr>
  </w:style>
  <w:style w:type="character" w:customStyle="1" w:styleId="FooterChar">
    <w:name w:val="Footer Char"/>
    <w:basedOn w:val="DefaultParagraphFont"/>
    <w:link w:val="Footer"/>
    <w:uiPriority w:val="99"/>
    <w:rsid w:val="00491126"/>
    <w:rPr>
      <w:color w:val="4D4D4F"/>
      <w:sz w:val="18"/>
    </w:rPr>
  </w:style>
  <w:style w:type="character" w:customStyle="1" w:styleId="Heading1Char">
    <w:name w:val="Heading 1 Char"/>
    <w:basedOn w:val="DefaultParagraphFont"/>
    <w:link w:val="Heading1"/>
    <w:uiPriority w:val="9"/>
    <w:rsid w:val="00842594"/>
    <w:rPr>
      <w:rFonts w:asciiTheme="majorHAnsi" w:hAnsiTheme="majorHAnsi"/>
      <w:b/>
      <w:color w:val="45A9D3" w:themeColor="accent1"/>
      <w:sz w:val="48"/>
      <w:szCs w:val="48"/>
    </w:rPr>
  </w:style>
  <w:style w:type="paragraph" w:customStyle="1" w:styleId="NumberedList">
    <w:name w:val="Numbered List"/>
    <w:basedOn w:val="Normal"/>
    <w:qFormat/>
    <w:rsid w:val="001150F7"/>
    <w:pPr>
      <w:ind w:left="504" w:hanging="288"/>
    </w:pPr>
  </w:style>
  <w:style w:type="paragraph" w:customStyle="1" w:styleId="BulletList">
    <w:name w:val="Bullet List"/>
    <w:basedOn w:val="Normal"/>
    <w:qFormat/>
    <w:rsid w:val="001150F7"/>
    <w:pPr>
      <w:ind w:left="504" w:hanging="288"/>
    </w:pPr>
  </w:style>
  <w:style w:type="character" w:customStyle="1" w:styleId="Heading2Char">
    <w:name w:val="Heading 2 Char"/>
    <w:basedOn w:val="DefaultParagraphFont"/>
    <w:link w:val="Heading2"/>
    <w:uiPriority w:val="9"/>
    <w:rsid w:val="00A66442"/>
    <w:rPr>
      <w:b/>
      <w:color w:val="45A9D3" w:themeColor="accent1"/>
      <w:sz w:val="24"/>
      <w:szCs w:val="24"/>
    </w:rPr>
  </w:style>
  <w:style w:type="paragraph" w:styleId="TOCHeading">
    <w:name w:val="TOC Heading"/>
    <w:basedOn w:val="Normal"/>
    <w:next w:val="Normal"/>
    <w:uiPriority w:val="39"/>
    <w:unhideWhenUsed/>
    <w:qFormat/>
    <w:rsid w:val="009E2BEF"/>
    <w:rPr>
      <w:b/>
      <w:color w:val="45A9D3" w:themeColor="accent1"/>
      <w:sz w:val="48"/>
      <w:szCs w:val="48"/>
    </w:rPr>
  </w:style>
  <w:style w:type="paragraph" w:styleId="TOC1">
    <w:name w:val="toc 1"/>
    <w:basedOn w:val="Normal"/>
    <w:next w:val="Normal"/>
    <w:autoRedefine/>
    <w:uiPriority w:val="39"/>
    <w:unhideWhenUsed/>
    <w:rsid w:val="000B0E8A"/>
    <w:pPr>
      <w:tabs>
        <w:tab w:val="right" w:leader="dot" w:pos="9737"/>
      </w:tabs>
    </w:pPr>
    <w:rPr>
      <w:b/>
    </w:rPr>
  </w:style>
  <w:style w:type="paragraph" w:styleId="TOC2">
    <w:name w:val="toc 2"/>
    <w:basedOn w:val="Normal"/>
    <w:next w:val="Normal"/>
    <w:autoRedefine/>
    <w:uiPriority w:val="39"/>
    <w:unhideWhenUsed/>
    <w:rsid w:val="000B0E8A"/>
    <w:pPr>
      <w:ind w:left="187"/>
    </w:pPr>
  </w:style>
  <w:style w:type="character" w:styleId="Hyperlink">
    <w:name w:val="Hyperlink"/>
    <w:basedOn w:val="DefaultParagraphFont"/>
    <w:uiPriority w:val="99"/>
    <w:unhideWhenUsed/>
    <w:rsid w:val="00296BD0"/>
    <w:rPr>
      <w:color w:val="45A9D3" w:themeColor="hyperlink"/>
      <w:u w:val="single"/>
    </w:rPr>
  </w:style>
  <w:style w:type="table" w:styleId="TableGrid">
    <w:name w:val="Table Grid"/>
    <w:basedOn w:val="TableNormal"/>
    <w:uiPriority w:val="39"/>
    <w:rsid w:val="00F87643"/>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4Accent1">
    <w:name w:val="Grid Table 4 Accent 1"/>
    <w:basedOn w:val="TableNormal"/>
    <w:uiPriority w:val="49"/>
    <w:rsid w:val="002D0905"/>
    <w:pPr>
      <w:spacing w:after="0"/>
    </w:pPr>
    <w:tblPr>
      <w:tblStyleRowBandSize w:val="1"/>
      <w:tblStyleColBandSize w:val="1"/>
      <w:tblInd w:w="0" w:type="dxa"/>
      <w:tblBorders>
        <w:top w:val="single" w:sz="4" w:space="0" w:color="8FCBE4" w:themeColor="accent1" w:themeTint="99"/>
        <w:left w:val="single" w:sz="4" w:space="0" w:color="8FCBE4" w:themeColor="accent1" w:themeTint="99"/>
        <w:bottom w:val="single" w:sz="4" w:space="0" w:color="8FCBE4" w:themeColor="accent1" w:themeTint="99"/>
        <w:right w:val="single" w:sz="4" w:space="0" w:color="8FCBE4" w:themeColor="accent1" w:themeTint="99"/>
        <w:insideH w:val="single" w:sz="4" w:space="0" w:color="8FCBE4" w:themeColor="accent1" w:themeTint="99"/>
        <w:insideV w:val="single" w:sz="4" w:space="0" w:color="8FCBE4"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5A9D3" w:themeColor="accent1"/>
          <w:left w:val="single" w:sz="4" w:space="0" w:color="45A9D3" w:themeColor="accent1"/>
          <w:bottom w:val="single" w:sz="4" w:space="0" w:color="45A9D3" w:themeColor="accent1"/>
          <w:right w:val="single" w:sz="4" w:space="0" w:color="45A9D3" w:themeColor="accent1"/>
          <w:insideH w:val="nil"/>
          <w:insideV w:val="nil"/>
        </w:tcBorders>
        <w:shd w:val="clear" w:color="auto" w:fill="45A9D3" w:themeFill="accent1"/>
      </w:tcPr>
    </w:tblStylePr>
    <w:tblStylePr w:type="lastRow">
      <w:rPr>
        <w:b/>
        <w:bCs/>
      </w:rPr>
      <w:tblPr/>
      <w:tcPr>
        <w:tcBorders>
          <w:top w:val="double" w:sz="4" w:space="0" w:color="45A9D3" w:themeColor="accent1"/>
        </w:tcBorders>
      </w:tcPr>
    </w:tblStylePr>
    <w:tblStylePr w:type="firstCol">
      <w:rPr>
        <w:b/>
        <w:bCs/>
      </w:rPr>
    </w:tblStylePr>
    <w:tblStylePr w:type="lastCol">
      <w:rPr>
        <w:b/>
        <w:bCs/>
      </w:rPr>
    </w:tblStylePr>
    <w:tblStylePr w:type="band1Vert">
      <w:tblPr/>
      <w:tcPr>
        <w:shd w:val="clear" w:color="auto" w:fill="D9EDF6" w:themeFill="accent1" w:themeFillTint="33"/>
      </w:tcPr>
    </w:tblStylePr>
    <w:tblStylePr w:type="band1Horz">
      <w:tblPr/>
      <w:tcPr>
        <w:shd w:val="clear" w:color="auto" w:fill="FFFFFF" w:themeFill="background1"/>
      </w:tcPr>
    </w:tblStylePr>
    <w:tblStylePr w:type="band2Horz">
      <w:tblPr/>
      <w:tcPr>
        <w:shd w:val="clear" w:color="auto" w:fill="E7E6E6" w:themeFill="background2"/>
      </w:tcPr>
    </w:tblStylePr>
  </w:style>
  <w:style w:type="paragraph" w:customStyle="1" w:styleId="TableHeading">
    <w:name w:val="Table Heading"/>
    <w:basedOn w:val="Normal"/>
    <w:qFormat/>
    <w:rsid w:val="003E0EE1"/>
    <w:pPr>
      <w:spacing w:before="60" w:after="60"/>
    </w:pPr>
    <w:rPr>
      <w:b/>
      <w:bCs/>
      <w:color w:val="FFFFFF" w:themeColor="background1"/>
    </w:rPr>
  </w:style>
  <w:style w:type="paragraph" w:customStyle="1" w:styleId="TableText">
    <w:name w:val="Table Text"/>
    <w:basedOn w:val="Normal"/>
    <w:qFormat/>
    <w:rsid w:val="00313D13"/>
    <w:pPr>
      <w:spacing w:before="60" w:after="60"/>
    </w:pPr>
  </w:style>
  <w:style w:type="paragraph" w:styleId="Caption">
    <w:name w:val="caption"/>
    <w:basedOn w:val="Normal"/>
    <w:next w:val="Normal"/>
    <w:uiPriority w:val="35"/>
    <w:unhideWhenUsed/>
    <w:qFormat/>
    <w:rsid w:val="004D2FC4"/>
    <w:pPr>
      <w:pBdr>
        <w:top w:val="single" w:sz="12" w:space="6" w:color="45A9D3" w:themeColor="accent1"/>
      </w:pBdr>
      <w:spacing w:after="480"/>
    </w:pPr>
    <w:rPr>
      <w:b/>
      <w:iCs/>
      <w:caps/>
    </w:rPr>
  </w:style>
  <w:style w:type="paragraph" w:customStyle="1" w:styleId="Default">
    <w:name w:val="Default"/>
    <w:rsid w:val="00337A52"/>
    <w:pPr>
      <w:autoSpaceDE w:val="0"/>
      <w:autoSpaceDN w:val="0"/>
      <w:adjustRightInd w:val="0"/>
      <w:spacing w:after="0"/>
    </w:pPr>
    <w:rPr>
      <w:color w:val="000000"/>
      <w:sz w:val="24"/>
      <w:szCs w:val="24"/>
    </w:rPr>
  </w:style>
  <w:style w:type="paragraph" w:styleId="ListParagraph">
    <w:name w:val="List Paragraph"/>
    <w:basedOn w:val="Normal"/>
    <w:uiPriority w:val="34"/>
    <w:qFormat/>
    <w:rsid w:val="005B7BBC"/>
    <w:pPr>
      <w:ind w:left="720"/>
      <w:contextualSpacing/>
    </w:pPr>
  </w:style>
  <w:style w:type="paragraph" w:styleId="FootnoteText">
    <w:name w:val="footnote text"/>
    <w:basedOn w:val="Normal"/>
    <w:link w:val="FootnoteTextChar"/>
    <w:uiPriority w:val="99"/>
    <w:semiHidden/>
    <w:unhideWhenUsed/>
    <w:rsid w:val="008C0796"/>
    <w:pPr>
      <w:spacing w:after="0"/>
    </w:pPr>
    <w:rPr>
      <w:sz w:val="20"/>
      <w:szCs w:val="20"/>
    </w:rPr>
  </w:style>
  <w:style w:type="character" w:customStyle="1" w:styleId="FootnoteTextChar">
    <w:name w:val="Footnote Text Char"/>
    <w:basedOn w:val="DefaultParagraphFont"/>
    <w:link w:val="FootnoteText"/>
    <w:uiPriority w:val="99"/>
    <w:semiHidden/>
    <w:rsid w:val="008C0796"/>
    <w:rPr>
      <w:color w:val="4D4D4F"/>
      <w:sz w:val="20"/>
      <w:szCs w:val="20"/>
    </w:rPr>
  </w:style>
  <w:style w:type="character" w:styleId="FootnoteReference">
    <w:name w:val="footnote reference"/>
    <w:basedOn w:val="DefaultParagraphFont"/>
    <w:uiPriority w:val="99"/>
    <w:semiHidden/>
    <w:unhideWhenUsed/>
    <w:rsid w:val="008C0796"/>
    <w:rPr>
      <w:vertAlign w:val="superscript"/>
    </w:rPr>
  </w:style>
  <w:style w:type="table" w:styleId="LightList-Accent3">
    <w:name w:val="Light List Accent 3"/>
    <w:basedOn w:val="TableNormal"/>
    <w:uiPriority w:val="61"/>
    <w:rsid w:val="00DD73D6"/>
    <w:pPr>
      <w:spacing w:after="0"/>
    </w:p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pPr>
    <w:tblPr>
      <w:tblStyleRowBandSize w:val="1"/>
      <w:tblStyleColBandSize w:val="1"/>
      <w:tblInd w:w="0" w:type="dxa"/>
      <w:tblCellMar>
        <w:top w:w="0" w:type="dxa"/>
        <w:left w:w="108" w:type="dxa"/>
        <w:bottom w:w="0" w:type="dxa"/>
        <w:right w:w="108" w:type="dxa"/>
      </w:tblCellMar>
    </w:tblPr>
    <w:tblStylePr w:type="firstRow">
      <w:pPr>
        <w:spacing w:before="0" w:after="0" w:line="240" w:lineRule="auto"/>
      </w:pPr>
      <w:rPr>
        <w:b/>
        <w:color w:val="FFFFFF"/>
      </w:rPr>
      <w:tblPr/>
      <w:tcPr>
        <w:shd w:val="clear" w:color="auto" w:fill="A5A5A5"/>
      </w:tcPr>
    </w:tblStylePr>
    <w:tblStylePr w:type="lastRow">
      <w:pPr>
        <w:spacing w:before="0" w:after="0" w:line="240" w:lineRule="auto"/>
      </w:pPr>
      <w:rPr>
        <w:b/>
      </w:rPr>
      <w:tblPr/>
      <w:tcPr>
        <w:tcBorders>
          <w:top w:val="single" w:sz="6" w:space="0" w:color="A5A5A5"/>
          <w:left w:val="single" w:sz="8" w:space="0" w:color="A5A5A5"/>
          <w:bottom w:val="single" w:sz="8" w:space="0" w:color="A5A5A5"/>
          <w:right w:val="single" w:sz="8" w:space="0" w:color="A5A5A5"/>
        </w:tcBorders>
      </w:tcPr>
    </w:tblStylePr>
    <w:tblStylePr w:type="firstCol">
      <w:rPr>
        <w:b/>
      </w:rPr>
    </w:tblStylePr>
    <w:tblStylePr w:type="lastCol">
      <w:rPr>
        <w:b/>
      </w:rPr>
    </w:tblStylePr>
    <w:tblStylePr w:type="band1Vert">
      <w:tblPr/>
      <w:tcPr>
        <w:tcBorders>
          <w:top w:val="single" w:sz="8" w:space="0" w:color="A5A5A5"/>
          <w:left w:val="single" w:sz="8" w:space="0" w:color="A5A5A5"/>
          <w:bottom w:val="single" w:sz="8" w:space="0" w:color="A5A5A5"/>
          <w:right w:val="single" w:sz="8" w:space="0" w:color="A5A5A5"/>
        </w:tcBorders>
      </w:tcPr>
    </w:tblStylePr>
    <w:tblStylePr w:type="band1Horz">
      <w:tblPr/>
      <w:tcPr>
        <w:tcBorders>
          <w:top w:val="single" w:sz="8" w:space="0" w:color="A5A5A5"/>
          <w:left w:val="single" w:sz="8" w:space="0" w:color="A5A5A5"/>
          <w:bottom w:val="single" w:sz="8" w:space="0" w:color="A5A5A5"/>
          <w:right w:val="single" w:sz="8" w:space="0" w:color="A5A5A5"/>
        </w:tcBorders>
      </w:tcPr>
    </w:tblStylePr>
  </w:style>
  <w:style w:type="table" w:customStyle="1" w:styleId="a0">
    <w:basedOn w:val="TableNormal"/>
    <w:pPr>
      <w:spacing w:after="0"/>
    </w:pPr>
    <w:tblPr>
      <w:tblStyleRowBandSize w:val="1"/>
      <w:tblStyleColBandSize w:val="1"/>
      <w:tblInd w:w="0" w:type="dxa"/>
      <w:tblCellMar>
        <w:top w:w="0" w:type="dxa"/>
        <w:left w:w="108" w:type="dxa"/>
        <w:bottom w:w="0" w:type="dxa"/>
        <w:right w:w="108" w:type="dxa"/>
      </w:tblCellMar>
    </w:tblPr>
    <w:tblStylePr w:type="firstRow">
      <w:rPr>
        <w:b/>
        <w:color w:val="FFFFFF"/>
      </w:rPr>
      <w:tblPr/>
      <w:tcPr>
        <w:tcBorders>
          <w:top w:val="single" w:sz="4" w:space="0" w:color="45A9D3"/>
          <w:left w:val="single" w:sz="4" w:space="0" w:color="45A9D3"/>
          <w:bottom w:val="single" w:sz="4" w:space="0" w:color="45A9D3"/>
          <w:right w:val="single" w:sz="4" w:space="0" w:color="45A9D3"/>
          <w:insideH w:val="nil"/>
          <w:insideV w:val="nil"/>
        </w:tcBorders>
        <w:shd w:val="clear" w:color="auto" w:fill="45A9D3"/>
      </w:tcPr>
    </w:tblStylePr>
    <w:tblStylePr w:type="lastRow">
      <w:rPr>
        <w:b/>
      </w:rPr>
      <w:tblPr/>
      <w:tcPr>
        <w:tcBorders>
          <w:top w:val="single" w:sz="4" w:space="0" w:color="45A9D3"/>
        </w:tcBorders>
      </w:tcPr>
    </w:tblStylePr>
    <w:tblStylePr w:type="firstCol">
      <w:rPr>
        <w:b/>
      </w:rPr>
    </w:tblStylePr>
    <w:tblStylePr w:type="lastCol">
      <w:rPr>
        <w:b/>
      </w:rPr>
    </w:tblStylePr>
    <w:tblStylePr w:type="band1Vert">
      <w:tblPr/>
      <w:tcPr>
        <w:shd w:val="clear" w:color="auto" w:fill="D9EDF6"/>
      </w:tcPr>
    </w:tblStylePr>
    <w:tblStylePr w:type="band1Horz">
      <w:tblPr/>
      <w:tcPr>
        <w:shd w:val="clear" w:color="auto" w:fill="FFFFFF"/>
      </w:tcPr>
    </w:tblStylePr>
    <w:tblStylePr w:type="band2Horz">
      <w:tblPr/>
      <w:tcPr>
        <w:shd w:val="clear" w:color="auto" w:fill="E7E6E6"/>
      </w:tcPr>
    </w:tblStylePr>
  </w:style>
  <w:style w:type="table" w:customStyle="1" w:styleId="a1">
    <w:basedOn w:val="TableNormal"/>
    <w:pPr>
      <w:spacing w:after="0"/>
    </w:pPr>
    <w:tblPr>
      <w:tblStyleRowBandSize w:val="1"/>
      <w:tblStyleColBandSize w:val="1"/>
      <w:tblInd w:w="0" w:type="dxa"/>
      <w:tblCellMar>
        <w:top w:w="0" w:type="dxa"/>
        <w:left w:w="108" w:type="dxa"/>
        <w:bottom w:w="0" w:type="dxa"/>
        <w:right w:w="108" w:type="dxa"/>
      </w:tblCellMar>
    </w:tblPr>
    <w:tblStylePr w:type="firstRow">
      <w:rPr>
        <w:b/>
        <w:color w:val="FFFFFF"/>
      </w:rPr>
      <w:tblPr/>
      <w:tcPr>
        <w:tcBorders>
          <w:top w:val="single" w:sz="4" w:space="0" w:color="45A9D3"/>
          <w:left w:val="single" w:sz="4" w:space="0" w:color="45A9D3"/>
          <w:bottom w:val="single" w:sz="4" w:space="0" w:color="45A9D3"/>
          <w:right w:val="single" w:sz="4" w:space="0" w:color="45A9D3"/>
          <w:insideH w:val="nil"/>
          <w:insideV w:val="nil"/>
        </w:tcBorders>
        <w:shd w:val="clear" w:color="auto" w:fill="45A9D3"/>
      </w:tcPr>
    </w:tblStylePr>
    <w:tblStylePr w:type="lastRow">
      <w:rPr>
        <w:b/>
      </w:rPr>
      <w:tblPr/>
      <w:tcPr>
        <w:tcBorders>
          <w:top w:val="single" w:sz="4" w:space="0" w:color="45A9D3"/>
        </w:tcBorders>
      </w:tcPr>
    </w:tblStylePr>
    <w:tblStylePr w:type="firstCol">
      <w:rPr>
        <w:b/>
      </w:rPr>
    </w:tblStylePr>
    <w:tblStylePr w:type="lastCol">
      <w:rPr>
        <w:b/>
      </w:rPr>
    </w:tblStylePr>
    <w:tblStylePr w:type="band1Vert">
      <w:tblPr/>
      <w:tcPr>
        <w:shd w:val="clear" w:color="auto" w:fill="D9EDF6"/>
      </w:tcPr>
    </w:tblStylePr>
    <w:tblStylePr w:type="band1Horz">
      <w:tblPr/>
      <w:tcPr>
        <w:shd w:val="clear" w:color="auto" w:fill="FFFFFF"/>
      </w:tcPr>
    </w:tblStylePr>
    <w:tblStylePr w:type="band2Horz">
      <w:tblPr/>
      <w:tcPr>
        <w:shd w:val="clear" w:color="auto" w:fill="E7E6E6"/>
      </w:tcPr>
    </w:tblStylePr>
  </w:style>
  <w:style w:type="paragraph" w:styleId="BalloonText">
    <w:name w:val="Balloon Text"/>
    <w:basedOn w:val="Normal"/>
    <w:link w:val="BalloonTextChar"/>
    <w:uiPriority w:val="99"/>
    <w:semiHidden/>
    <w:unhideWhenUsed/>
    <w:rsid w:val="00922F2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2F28"/>
    <w:rPr>
      <w:rFonts w:ascii="Tahoma" w:hAnsi="Tahoma" w:cs="Tahoma"/>
      <w:sz w:val="16"/>
      <w:szCs w:val="16"/>
    </w:rPr>
  </w:style>
  <w:style w:type="paragraph" w:styleId="EndnoteText">
    <w:name w:val="endnote text"/>
    <w:basedOn w:val="Normal"/>
    <w:link w:val="EndnoteTextChar"/>
    <w:uiPriority w:val="99"/>
    <w:semiHidden/>
    <w:unhideWhenUsed/>
    <w:rsid w:val="00103328"/>
    <w:pPr>
      <w:spacing w:after="0"/>
    </w:pPr>
    <w:rPr>
      <w:sz w:val="20"/>
      <w:szCs w:val="20"/>
    </w:rPr>
  </w:style>
  <w:style w:type="character" w:customStyle="1" w:styleId="EndnoteTextChar">
    <w:name w:val="Endnote Text Char"/>
    <w:basedOn w:val="DefaultParagraphFont"/>
    <w:link w:val="EndnoteText"/>
    <w:uiPriority w:val="99"/>
    <w:semiHidden/>
    <w:rsid w:val="00103328"/>
    <w:rPr>
      <w:sz w:val="20"/>
      <w:szCs w:val="20"/>
    </w:rPr>
  </w:style>
  <w:style w:type="character" w:styleId="EndnoteReference">
    <w:name w:val="endnote reference"/>
    <w:basedOn w:val="DefaultParagraphFont"/>
    <w:uiPriority w:val="99"/>
    <w:semiHidden/>
    <w:unhideWhenUsed/>
    <w:rsid w:val="00103328"/>
    <w:rPr>
      <w:vertAlign w:val="superscript"/>
    </w:rPr>
  </w:style>
  <w:style w:type="character" w:styleId="FollowedHyperlink">
    <w:name w:val="FollowedHyperlink"/>
    <w:basedOn w:val="DefaultParagraphFont"/>
    <w:uiPriority w:val="99"/>
    <w:semiHidden/>
    <w:unhideWhenUsed/>
    <w:rsid w:val="00F21B85"/>
    <w:rPr>
      <w:color w:val="45A9D3"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Raleway" w:eastAsia="Raleway" w:hAnsi="Raleway" w:cs="Raleway"/>
        <w:color w:val="4D4D4F"/>
        <w:sz w:val="18"/>
        <w:szCs w:val="18"/>
        <w:lang w:val="en-US" w:eastAsia="en-AU" w:bidi="ar-SA"/>
      </w:rPr>
    </w:rPrDefault>
    <w:pPrDefault>
      <w:pPr>
        <w:spacing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41D2"/>
  </w:style>
  <w:style w:type="paragraph" w:styleId="Heading1">
    <w:name w:val="heading 1"/>
    <w:basedOn w:val="Normal"/>
    <w:next w:val="Normal"/>
    <w:link w:val="Heading1Char"/>
    <w:uiPriority w:val="9"/>
    <w:qFormat/>
    <w:rsid w:val="00842594"/>
    <w:pPr>
      <w:spacing w:before="480"/>
      <w:outlineLvl w:val="0"/>
    </w:pPr>
    <w:rPr>
      <w:rFonts w:asciiTheme="majorHAnsi" w:hAnsiTheme="majorHAnsi"/>
      <w:b/>
      <w:color w:val="45A9D3" w:themeColor="accent1"/>
      <w:sz w:val="48"/>
      <w:szCs w:val="48"/>
    </w:rPr>
  </w:style>
  <w:style w:type="paragraph" w:styleId="Heading2">
    <w:name w:val="heading 2"/>
    <w:basedOn w:val="Normal"/>
    <w:next w:val="Normal"/>
    <w:link w:val="Heading2Char"/>
    <w:uiPriority w:val="9"/>
    <w:unhideWhenUsed/>
    <w:qFormat/>
    <w:rsid w:val="00A66442"/>
    <w:pPr>
      <w:spacing w:before="480"/>
      <w:outlineLvl w:val="1"/>
    </w:pPr>
    <w:rPr>
      <w:b/>
      <w:color w:val="45A9D3" w:themeColor="accent1"/>
      <w:sz w:val="24"/>
      <w:szCs w:val="24"/>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rsid w:val="0076742A"/>
    <w:pPr>
      <w:tabs>
        <w:tab w:val="center" w:pos="4680"/>
        <w:tab w:val="right" w:pos="9360"/>
      </w:tabs>
      <w:spacing w:after="0"/>
    </w:pPr>
  </w:style>
  <w:style w:type="character" w:customStyle="1" w:styleId="HeaderChar">
    <w:name w:val="Header Char"/>
    <w:basedOn w:val="DefaultParagraphFont"/>
    <w:link w:val="Header"/>
    <w:uiPriority w:val="99"/>
    <w:rsid w:val="0076742A"/>
  </w:style>
  <w:style w:type="paragraph" w:styleId="Footer">
    <w:name w:val="footer"/>
    <w:basedOn w:val="Normal"/>
    <w:link w:val="FooterChar"/>
    <w:uiPriority w:val="99"/>
    <w:unhideWhenUsed/>
    <w:rsid w:val="00491126"/>
    <w:pPr>
      <w:tabs>
        <w:tab w:val="center" w:pos="4680"/>
        <w:tab w:val="right" w:pos="9360"/>
      </w:tabs>
      <w:spacing w:after="0"/>
    </w:pPr>
  </w:style>
  <w:style w:type="character" w:customStyle="1" w:styleId="FooterChar">
    <w:name w:val="Footer Char"/>
    <w:basedOn w:val="DefaultParagraphFont"/>
    <w:link w:val="Footer"/>
    <w:uiPriority w:val="99"/>
    <w:rsid w:val="00491126"/>
    <w:rPr>
      <w:color w:val="4D4D4F"/>
      <w:sz w:val="18"/>
    </w:rPr>
  </w:style>
  <w:style w:type="character" w:customStyle="1" w:styleId="Heading1Char">
    <w:name w:val="Heading 1 Char"/>
    <w:basedOn w:val="DefaultParagraphFont"/>
    <w:link w:val="Heading1"/>
    <w:uiPriority w:val="9"/>
    <w:rsid w:val="00842594"/>
    <w:rPr>
      <w:rFonts w:asciiTheme="majorHAnsi" w:hAnsiTheme="majorHAnsi"/>
      <w:b/>
      <w:color w:val="45A9D3" w:themeColor="accent1"/>
      <w:sz w:val="48"/>
      <w:szCs w:val="48"/>
    </w:rPr>
  </w:style>
  <w:style w:type="paragraph" w:customStyle="1" w:styleId="NumberedList">
    <w:name w:val="Numbered List"/>
    <w:basedOn w:val="Normal"/>
    <w:qFormat/>
    <w:rsid w:val="001150F7"/>
    <w:pPr>
      <w:ind w:left="504" w:hanging="288"/>
    </w:pPr>
  </w:style>
  <w:style w:type="paragraph" w:customStyle="1" w:styleId="BulletList">
    <w:name w:val="Bullet List"/>
    <w:basedOn w:val="Normal"/>
    <w:qFormat/>
    <w:rsid w:val="001150F7"/>
    <w:pPr>
      <w:ind w:left="504" w:hanging="288"/>
    </w:pPr>
  </w:style>
  <w:style w:type="character" w:customStyle="1" w:styleId="Heading2Char">
    <w:name w:val="Heading 2 Char"/>
    <w:basedOn w:val="DefaultParagraphFont"/>
    <w:link w:val="Heading2"/>
    <w:uiPriority w:val="9"/>
    <w:rsid w:val="00A66442"/>
    <w:rPr>
      <w:b/>
      <w:color w:val="45A9D3" w:themeColor="accent1"/>
      <w:sz w:val="24"/>
      <w:szCs w:val="24"/>
    </w:rPr>
  </w:style>
  <w:style w:type="paragraph" w:styleId="TOCHeading">
    <w:name w:val="TOC Heading"/>
    <w:basedOn w:val="Normal"/>
    <w:next w:val="Normal"/>
    <w:uiPriority w:val="39"/>
    <w:unhideWhenUsed/>
    <w:qFormat/>
    <w:rsid w:val="009E2BEF"/>
    <w:rPr>
      <w:b/>
      <w:color w:val="45A9D3" w:themeColor="accent1"/>
      <w:sz w:val="48"/>
      <w:szCs w:val="48"/>
    </w:rPr>
  </w:style>
  <w:style w:type="paragraph" w:styleId="TOC1">
    <w:name w:val="toc 1"/>
    <w:basedOn w:val="Normal"/>
    <w:next w:val="Normal"/>
    <w:autoRedefine/>
    <w:uiPriority w:val="39"/>
    <w:unhideWhenUsed/>
    <w:rsid w:val="000B0E8A"/>
    <w:pPr>
      <w:tabs>
        <w:tab w:val="right" w:leader="dot" w:pos="9737"/>
      </w:tabs>
    </w:pPr>
    <w:rPr>
      <w:b/>
    </w:rPr>
  </w:style>
  <w:style w:type="paragraph" w:styleId="TOC2">
    <w:name w:val="toc 2"/>
    <w:basedOn w:val="Normal"/>
    <w:next w:val="Normal"/>
    <w:autoRedefine/>
    <w:uiPriority w:val="39"/>
    <w:unhideWhenUsed/>
    <w:rsid w:val="000B0E8A"/>
    <w:pPr>
      <w:ind w:left="187"/>
    </w:pPr>
  </w:style>
  <w:style w:type="character" w:styleId="Hyperlink">
    <w:name w:val="Hyperlink"/>
    <w:basedOn w:val="DefaultParagraphFont"/>
    <w:uiPriority w:val="99"/>
    <w:unhideWhenUsed/>
    <w:rsid w:val="00296BD0"/>
    <w:rPr>
      <w:color w:val="45A9D3" w:themeColor="hyperlink"/>
      <w:u w:val="single"/>
    </w:rPr>
  </w:style>
  <w:style w:type="table" w:styleId="TableGrid">
    <w:name w:val="Table Grid"/>
    <w:basedOn w:val="TableNormal"/>
    <w:uiPriority w:val="39"/>
    <w:rsid w:val="00F87643"/>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4Accent1">
    <w:name w:val="Grid Table 4 Accent 1"/>
    <w:basedOn w:val="TableNormal"/>
    <w:uiPriority w:val="49"/>
    <w:rsid w:val="002D0905"/>
    <w:pPr>
      <w:spacing w:after="0"/>
    </w:pPr>
    <w:tblPr>
      <w:tblStyleRowBandSize w:val="1"/>
      <w:tblStyleColBandSize w:val="1"/>
      <w:tblInd w:w="0" w:type="dxa"/>
      <w:tblBorders>
        <w:top w:val="single" w:sz="4" w:space="0" w:color="8FCBE4" w:themeColor="accent1" w:themeTint="99"/>
        <w:left w:val="single" w:sz="4" w:space="0" w:color="8FCBE4" w:themeColor="accent1" w:themeTint="99"/>
        <w:bottom w:val="single" w:sz="4" w:space="0" w:color="8FCBE4" w:themeColor="accent1" w:themeTint="99"/>
        <w:right w:val="single" w:sz="4" w:space="0" w:color="8FCBE4" w:themeColor="accent1" w:themeTint="99"/>
        <w:insideH w:val="single" w:sz="4" w:space="0" w:color="8FCBE4" w:themeColor="accent1" w:themeTint="99"/>
        <w:insideV w:val="single" w:sz="4" w:space="0" w:color="8FCBE4"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5A9D3" w:themeColor="accent1"/>
          <w:left w:val="single" w:sz="4" w:space="0" w:color="45A9D3" w:themeColor="accent1"/>
          <w:bottom w:val="single" w:sz="4" w:space="0" w:color="45A9D3" w:themeColor="accent1"/>
          <w:right w:val="single" w:sz="4" w:space="0" w:color="45A9D3" w:themeColor="accent1"/>
          <w:insideH w:val="nil"/>
          <w:insideV w:val="nil"/>
        </w:tcBorders>
        <w:shd w:val="clear" w:color="auto" w:fill="45A9D3" w:themeFill="accent1"/>
      </w:tcPr>
    </w:tblStylePr>
    <w:tblStylePr w:type="lastRow">
      <w:rPr>
        <w:b/>
        <w:bCs/>
      </w:rPr>
      <w:tblPr/>
      <w:tcPr>
        <w:tcBorders>
          <w:top w:val="double" w:sz="4" w:space="0" w:color="45A9D3" w:themeColor="accent1"/>
        </w:tcBorders>
      </w:tcPr>
    </w:tblStylePr>
    <w:tblStylePr w:type="firstCol">
      <w:rPr>
        <w:b/>
        <w:bCs/>
      </w:rPr>
    </w:tblStylePr>
    <w:tblStylePr w:type="lastCol">
      <w:rPr>
        <w:b/>
        <w:bCs/>
      </w:rPr>
    </w:tblStylePr>
    <w:tblStylePr w:type="band1Vert">
      <w:tblPr/>
      <w:tcPr>
        <w:shd w:val="clear" w:color="auto" w:fill="D9EDF6" w:themeFill="accent1" w:themeFillTint="33"/>
      </w:tcPr>
    </w:tblStylePr>
    <w:tblStylePr w:type="band1Horz">
      <w:tblPr/>
      <w:tcPr>
        <w:shd w:val="clear" w:color="auto" w:fill="FFFFFF" w:themeFill="background1"/>
      </w:tcPr>
    </w:tblStylePr>
    <w:tblStylePr w:type="band2Horz">
      <w:tblPr/>
      <w:tcPr>
        <w:shd w:val="clear" w:color="auto" w:fill="E7E6E6" w:themeFill="background2"/>
      </w:tcPr>
    </w:tblStylePr>
  </w:style>
  <w:style w:type="paragraph" w:customStyle="1" w:styleId="TableHeading">
    <w:name w:val="Table Heading"/>
    <w:basedOn w:val="Normal"/>
    <w:qFormat/>
    <w:rsid w:val="003E0EE1"/>
    <w:pPr>
      <w:spacing w:before="60" w:after="60"/>
    </w:pPr>
    <w:rPr>
      <w:b/>
      <w:bCs/>
      <w:color w:val="FFFFFF" w:themeColor="background1"/>
    </w:rPr>
  </w:style>
  <w:style w:type="paragraph" w:customStyle="1" w:styleId="TableText">
    <w:name w:val="Table Text"/>
    <w:basedOn w:val="Normal"/>
    <w:qFormat/>
    <w:rsid w:val="00313D13"/>
    <w:pPr>
      <w:spacing w:before="60" w:after="60"/>
    </w:pPr>
  </w:style>
  <w:style w:type="paragraph" w:styleId="Caption">
    <w:name w:val="caption"/>
    <w:basedOn w:val="Normal"/>
    <w:next w:val="Normal"/>
    <w:uiPriority w:val="35"/>
    <w:unhideWhenUsed/>
    <w:qFormat/>
    <w:rsid w:val="004D2FC4"/>
    <w:pPr>
      <w:pBdr>
        <w:top w:val="single" w:sz="12" w:space="6" w:color="45A9D3" w:themeColor="accent1"/>
      </w:pBdr>
      <w:spacing w:after="480"/>
    </w:pPr>
    <w:rPr>
      <w:b/>
      <w:iCs/>
      <w:caps/>
    </w:rPr>
  </w:style>
  <w:style w:type="paragraph" w:customStyle="1" w:styleId="Default">
    <w:name w:val="Default"/>
    <w:rsid w:val="00337A52"/>
    <w:pPr>
      <w:autoSpaceDE w:val="0"/>
      <w:autoSpaceDN w:val="0"/>
      <w:adjustRightInd w:val="0"/>
      <w:spacing w:after="0"/>
    </w:pPr>
    <w:rPr>
      <w:color w:val="000000"/>
      <w:sz w:val="24"/>
      <w:szCs w:val="24"/>
    </w:rPr>
  </w:style>
  <w:style w:type="paragraph" w:styleId="ListParagraph">
    <w:name w:val="List Paragraph"/>
    <w:basedOn w:val="Normal"/>
    <w:uiPriority w:val="34"/>
    <w:qFormat/>
    <w:rsid w:val="005B7BBC"/>
    <w:pPr>
      <w:ind w:left="720"/>
      <w:contextualSpacing/>
    </w:pPr>
  </w:style>
  <w:style w:type="paragraph" w:styleId="FootnoteText">
    <w:name w:val="footnote text"/>
    <w:basedOn w:val="Normal"/>
    <w:link w:val="FootnoteTextChar"/>
    <w:uiPriority w:val="99"/>
    <w:semiHidden/>
    <w:unhideWhenUsed/>
    <w:rsid w:val="008C0796"/>
    <w:pPr>
      <w:spacing w:after="0"/>
    </w:pPr>
    <w:rPr>
      <w:sz w:val="20"/>
      <w:szCs w:val="20"/>
    </w:rPr>
  </w:style>
  <w:style w:type="character" w:customStyle="1" w:styleId="FootnoteTextChar">
    <w:name w:val="Footnote Text Char"/>
    <w:basedOn w:val="DefaultParagraphFont"/>
    <w:link w:val="FootnoteText"/>
    <w:uiPriority w:val="99"/>
    <w:semiHidden/>
    <w:rsid w:val="008C0796"/>
    <w:rPr>
      <w:color w:val="4D4D4F"/>
      <w:sz w:val="20"/>
      <w:szCs w:val="20"/>
    </w:rPr>
  </w:style>
  <w:style w:type="character" w:styleId="FootnoteReference">
    <w:name w:val="footnote reference"/>
    <w:basedOn w:val="DefaultParagraphFont"/>
    <w:uiPriority w:val="99"/>
    <w:semiHidden/>
    <w:unhideWhenUsed/>
    <w:rsid w:val="008C0796"/>
    <w:rPr>
      <w:vertAlign w:val="superscript"/>
    </w:rPr>
  </w:style>
  <w:style w:type="table" w:styleId="LightList-Accent3">
    <w:name w:val="Light List Accent 3"/>
    <w:basedOn w:val="TableNormal"/>
    <w:uiPriority w:val="61"/>
    <w:rsid w:val="00DD73D6"/>
    <w:pPr>
      <w:spacing w:after="0"/>
    </w:p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pPr>
    <w:tblPr>
      <w:tblStyleRowBandSize w:val="1"/>
      <w:tblStyleColBandSize w:val="1"/>
      <w:tblInd w:w="0" w:type="dxa"/>
      <w:tblCellMar>
        <w:top w:w="0" w:type="dxa"/>
        <w:left w:w="108" w:type="dxa"/>
        <w:bottom w:w="0" w:type="dxa"/>
        <w:right w:w="108" w:type="dxa"/>
      </w:tblCellMar>
    </w:tblPr>
    <w:tblStylePr w:type="firstRow">
      <w:pPr>
        <w:spacing w:before="0" w:after="0" w:line="240" w:lineRule="auto"/>
      </w:pPr>
      <w:rPr>
        <w:b/>
        <w:color w:val="FFFFFF"/>
      </w:rPr>
      <w:tblPr/>
      <w:tcPr>
        <w:shd w:val="clear" w:color="auto" w:fill="A5A5A5"/>
      </w:tcPr>
    </w:tblStylePr>
    <w:tblStylePr w:type="lastRow">
      <w:pPr>
        <w:spacing w:before="0" w:after="0" w:line="240" w:lineRule="auto"/>
      </w:pPr>
      <w:rPr>
        <w:b/>
      </w:rPr>
      <w:tblPr/>
      <w:tcPr>
        <w:tcBorders>
          <w:top w:val="single" w:sz="6" w:space="0" w:color="A5A5A5"/>
          <w:left w:val="single" w:sz="8" w:space="0" w:color="A5A5A5"/>
          <w:bottom w:val="single" w:sz="8" w:space="0" w:color="A5A5A5"/>
          <w:right w:val="single" w:sz="8" w:space="0" w:color="A5A5A5"/>
        </w:tcBorders>
      </w:tcPr>
    </w:tblStylePr>
    <w:tblStylePr w:type="firstCol">
      <w:rPr>
        <w:b/>
      </w:rPr>
    </w:tblStylePr>
    <w:tblStylePr w:type="lastCol">
      <w:rPr>
        <w:b/>
      </w:rPr>
    </w:tblStylePr>
    <w:tblStylePr w:type="band1Vert">
      <w:tblPr/>
      <w:tcPr>
        <w:tcBorders>
          <w:top w:val="single" w:sz="8" w:space="0" w:color="A5A5A5"/>
          <w:left w:val="single" w:sz="8" w:space="0" w:color="A5A5A5"/>
          <w:bottom w:val="single" w:sz="8" w:space="0" w:color="A5A5A5"/>
          <w:right w:val="single" w:sz="8" w:space="0" w:color="A5A5A5"/>
        </w:tcBorders>
      </w:tcPr>
    </w:tblStylePr>
    <w:tblStylePr w:type="band1Horz">
      <w:tblPr/>
      <w:tcPr>
        <w:tcBorders>
          <w:top w:val="single" w:sz="8" w:space="0" w:color="A5A5A5"/>
          <w:left w:val="single" w:sz="8" w:space="0" w:color="A5A5A5"/>
          <w:bottom w:val="single" w:sz="8" w:space="0" w:color="A5A5A5"/>
          <w:right w:val="single" w:sz="8" w:space="0" w:color="A5A5A5"/>
        </w:tcBorders>
      </w:tcPr>
    </w:tblStylePr>
  </w:style>
  <w:style w:type="table" w:customStyle="1" w:styleId="a0">
    <w:basedOn w:val="TableNormal"/>
    <w:pPr>
      <w:spacing w:after="0"/>
    </w:pPr>
    <w:tblPr>
      <w:tblStyleRowBandSize w:val="1"/>
      <w:tblStyleColBandSize w:val="1"/>
      <w:tblInd w:w="0" w:type="dxa"/>
      <w:tblCellMar>
        <w:top w:w="0" w:type="dxa"/>
        <w:left w:w="108" w:type="dxa"/>
        <w:bottom w:w="0" w:type="dxa"/>
        <w:right w:w="108" w:type="dxa"/>
      </w:tblCellMar>
    </w:tblPr>
    <w:tblStylePr w:type="firstRow">
      <w:rPr>
        <w:b/>
        <w:color w:val="FFFFFF"/>
      </w:rPr>
      <w:tblPr/>
      <w:tcPr>
        <w:tcBorders>
          <w:top w:val="single" w:sz="4" w:space="0" w:color="45A9D3"/>
          <w:left w:val="single" w:sz="4" w:space="0" w:color="45A9D3"/>
          <w:bottom w:val="single" w:sz="4" w:space="0" w:color="45A9D3"/>
          <w:right w:val="single" w:sz="4" w:space="0" w:color="45A9D3"/>
          <w:insideH w:val="nil"/>
          <w:insideV w:val="nil"/>
        </w:tcBorders>
        <w:shd w:val="clear" w:color="auto" w:fill="45A9D3"/>
      </w:tcPr>
    </w:tblStylePr>
    <w:tblStylePr w:type="lastRow">
      <w:rPr>
        <w:b/>
      </w:rPr>
      <w:tblPr/>
      <w:tcPr>
        <w:tcBorders>
          <w:top w:val="single" w:sz="4" w:space="0" w:color="45A9D3"/>
        </w:tcBorders>
      </w:tcPr>
    </w:tblStylePr>
    <w:tblStylePr w:type="firstCol">
      <w:rPr>
        <w:b/>
      </w:rPr>
    </w:tblStylePr>
    <w:tblStylePr w:type="lastCol">
      <w:rPr>
        <w:b/>
      </w:rPr>
    </w:tblStylePr>
    <w:tblStylePr w:type="band1Vert">
      <w:tblPr/>
      <w:tcPr>
        <w:shd w:val="clear" w:color="auto" w:fill="D9EDF6"/>
      </w:tcPr>
    </w:tblStylePr>
    <w:tblStylePr w:type="band1Horz">
      <w:tblPr/>
      <w:tcPr>
        <w:shd w:val="clear" w:color="auto" w:fill="FFFFFF"/>
      </w:tcPr>
    </w:tblStylePr>
    <w:tblStylePr w:type="band2Horz">
      <w:tblPr/>
      <w:tcPr>
        <w:shd w:val="clear" w:color="auto" w:fill="E7E6E6"/>
      </w:tcPr>
    </w:tblStylePr>
  </w:style>
  <w:style w:type="table" w:customStyle="1" w:styleId="a1">
    <w:basedOn w:val="TableNormal"/>
    <w:pPr>
      <w:spacing w:after="0"/>
    </w:pPr>
    <w:tblPr>
      <w:tblStyleRowBandSize w:val="1"/>
      <w:tblStyleColBandSize w:val="1"/>
      <w:tblInd w:w="0" w:type="dxa"/>
      <w:tblCellMar>
        <w:top w:w="0" w:type="dxa"/>
        <w:left w:w="108" w:type="dxa"/>
        <w:bottom w:w="0" w:type="dxa"/>
        <w:right w:w="108" w:type="dxa"/>
      </w:tblCellMar>
    </w:tblPr>
    <w:tblStylePr w:type="firstRow">
      <w:rPr>
        <w:b/>
        <w:color w:val="FFFFFF"/>
      </w:rPr>
      <w:tblPr/>
      <w:tcPr>
        <w:tcBorders>
          <w:top w:val="single" w:sz="4" w:space="0" w:color="45A9D3"/>
          <w:left w:val="single" w:sz="4" w:space="0" w:color="45A9D3"/>
          <w:bottom w:val="single" w:sz="4" w:space="0" w:color="45A9D3"/>
          <w:right w:val="single" w:sz="4" w:space="0" w:color="45A9D3"/>
          <w:insideH w:val="nil"/>
          <w:insideV w:val="nil"/>
        </w:tcBorders>
        <w:shd w:val="clear" w:color="auto" w:fill="45A9D3"/>
      </w:tcPr>
    </w:tblStylePr>
    <w:tblStylePr w:type="lastRow">
      <w:rPr>
        <w:b/>
      </w:rPr>
      <w:tblPr/>
      <w:tcPr>
        <w:tcBorders>
          <w:top w:val="single" w:sz="4" w:space="0" w:color="45A9D3"/>
        </w:tcBorders>
      </w:tcPr>
    </w:tblStylePr>
    <w:tblStylePr w:type="firstCol">
      <w:rPr>
        <w:b/>
      </w:rPr>
    </w:tblStylePr>
    <w:tblStylePr w:type="lastCol">
      <w:rPr>
        <w:b/>
      </w:rPr>
    </w:tblStylePr>
    <w:tblStylePr w:type="band1Vert">
      <w:tblPr/>
      <w:tcPr>
        <w:shd w:val="clear" w:color="auto" w:fill="D9EDF6"/>
      </w:tcPr>
    </w:tblStylePr>
    <w:tblStylePr w:type="band1Horz">
      <w:tblPr/>
      <w:tcPr>
        <w:shd w:val="clear" w:color="auto" w:fill="FFFFFF"/>
      </w:tcPr>
    </w:tblStylePr>
    <w:tblStylePr w:type="band2Horz">
      <w:tblPr/>
      <w:tcPr>
        <w:shd w:val="clear" w:color="auto" w:fill="E7E6E6"/>
      </w:tcPr>
    </w:tblStylePr>
  </w:style>
  <w:style w:type="paragraph" w:styleId="BalloonText">
    <w:name w:val="Balloon Text"/>
    <w:basedOn w:val="Normal"/>
    <w:link w:val="BalloonTextChar"/>
    <w:uiPriority w:val="99"/>
    <w:semiHidden/>
    <w:unhideWhenUsed/>
    <w:rsid w:val="00922F2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2F28"/>
    <w:rPr>
      <w:rFonts w:ascii="Tahoma" w:hAnsi="Tahoma" w:cs="Tahoma"/>
      <w:sz w:val="16"/>
      <w:szCs w:val="16"/>
    </w:rPr>
  </w:style>
  <w:style w:type="paragraph" w:styleId="EndnoteText">
    <w:name w:val="endnote text"/>
    <w:basedOn w:val="Normal"/>
    <w:link w:val="EndnoteTextChar"/>
    <w:uiPriority w:val="99"/>
    <w:semiHidden/>
    <w:unhideWhenUsed/>
    <w:rsid w:val="00103328"/>
    <w:pPr>
      <w:spacing w:after="0"/>
    </w:pPr>
    <w:rPr>
      <w:sz w:val="20"/>
      <w:szCs w:val="20"/>
    </w:rPr>
  </w:style>
  <w:style w:type="character" w:customStyle="1" w:styleId="EndnoteTextChar">
    <w:name w:val="Endnote Text Char"/>
    <w:basedOn w:val="DefaultParagraphFont"/>
    <w:link w:val="EndnoteText"/>
    <w:uiPriority w:val="99"/>
    <w:semiHidden/>
    <w:rsid w:val="00103328"/>
    <w:rPr>
      <w:sz w:val="20"/>
      <w:szCs w:val="20"/>
    </w:rPr>
  </w:style>
  <w:style w:type="character" w:styleId="EndnoteReference">
    <w:name w:val="endnote reference"/>
    <w:basedOn w:val="DefaultParagraphFont"/>
    <w:uiPriority w:val="99"/>
    <w:semiHidden/>
    <w:unhideWhenUsed/>
    <w:rsid w:val="00103328"/>
    <w:rPr>
      <w:vertAlign w:val="superscript"/>
    </w:rPr>
  </w:style>
  <w:style w:type="character" w:styleId="FollowedHyperlink">
    <w:name w:val="FollowedHyperlink"/>
    <w:basedOn w:val="DefaultParagraphFont"/>
    <w:uiPriority w:val="99"/>
    <w:semiHidden/>
    <w:unhideWhenUsed/>
    <w:rsid w:val="00F21B85"/>
    <w:rPr>
      <w:color w:val="45A9D3"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Reposit">
      <a:dk1>
        <a:sysClr val="windowText" lastClr="000000"/>
      </a:dk1>
      <a:lt1>
        <a:sysClr val="window" lastClr="FFFFFF"/>
      </a:lt1>
      <a:dk2>
        <a:srgbClr val="44546A"/>
      </a:dk2>
      <a:lt2>
        <a:srgbClr val="E7E6E6"/>
      </a:lt2>
      <a:accent1>
        <a:srgbClr val="45A9D3"/>
      </a:accent1>
      <a:accent2>
        <a:srgbClr val="ED7D31"/>
      </a:accent2>
      <a:accent3>
        <a:srgbClr val="A5A5A5"/>
      </a:accent3>
      <a:accent4>
        <a:srgbClr val="FFC000"/>
      </a:accent4>
      <a:accent5>
        <a:srgbClr val="4472C4"/>
      </a:accent5>
      <a:accent6>
        <a:srgbClr val="70AD47"/>
      </a:accent6>
      <a:hlink>
        <a:srgbClr val="45A9D3"/>
      </a:hlink>
      <a:folHlink>
        <a:srgbClr val="45A9D3"/>
      </a:folHlink>
    </a:clrScheme>
    <a:fontScheme name="Reposit">
      <a:majorFont>
        <a:latin typeface="Raleway"/>
        <a:ea typeface=""/>
        <a:cs typeface=""/>
      </a:majorFont>
      <a:minorFont>
        <a:latin typeface="Raleway"/>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K4L+lBxiTu7m8SwnZTN4jFO5kJQ==">AMUW2mV/MRPJcAx8RRLNvIOfXUFo5QfkLCToN9PnR56Va+O/mkV7mVJRhiMF0lvWAii9UWIMFFT9726UsJotIW/30z6jkAw72oCMDvZOXwYnZPAhTo7ws9sCtZTxOcsUcCKT7cj/SFdk</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4629361C0924AB47A2B13393BFDF77C4" ma:contentTypeVersion="12" ma:contentTypeDescription="Create a new document." ma:contentTypeScope="" ma:versionID="877b3a80972da79069cf6db6c9b5a742">
  <xsd:schema xmlns:xsd="http://www.w3.org/2001/XMLSchema" xmlns:xs="http://www.w3.org/2001/XMLSchema" xmlns:p="http://schemas.microsoft.com/office/2006/metadata/properties" xmlns:ns2="7aa26ff8-f852-4791-969c-d3c5814cfde3" xmlns:ns3="cf4c908b-213f-48fa-9923-865b8a05e513" targetNamespace="http://schemas.microsoft.com/office/2006/metadata/properties" ma:root="true" ma:fieldsID="9577d1364631c7bb676ef9f542cebae0" ns2:_="" ns3:_="">
    <xsd:import namespace="7aa26ff8-f852-4791-969c-d3c5814cfde3"/>
    <xsd:import namespace="cf4c908b-213f-48fa-9923-865b8a05e51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EventHashCode" minOccurs="0"/>
                <xsd:element ref="ns2:MediaServiceGenerationTime" minOccurs="0"/>
                <xsd:element ref="ns2:MediaServiceLocation"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a26ff8-f852-4791-969c-d3c5814cfde3"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f4c908b-213f-48fa-9923-865b8a05e513"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BF0EA9C-9DDD-43D7-A81C-95253F3D700B}">
  <ds:schemaRefs>
    <ds:schemaRef ds:uri="http://schemas.openxmlformats.org/officeDocument/2006/bibliography"/>
  </ds:schemaRefs>
</ds:datastoreItem>
</file>

<file path=customXml/itemProps3.xml><?xml version="1.0" encoding="utf-8"?>
<ds:datastoreItem xmlns:ds="http://schemas.openxmlformats.org/officeDocument/2006/customXml" ds:itemID="{C4B4205D-5153-4B22-95C8-0E51702072F2}"/>
</file>

<file path=customXml/itemProps4.xml><?xml version="1.0" encoding="utf-8"?>
<ds:datastoreItem xmlns:ds="http://schemas.openxmlformats.org/officeDocument/2006/customXml" ds:itemID="{6367CAE1-2699-4DD1-9CE5-BCBA05FD0D53}"/>
</file>

<file path=customXml/itemProps5.xml><?xml version="1.0" encoding="utf-8"?>
<ds:datastoreItem xmlns:ds="http://schemas.openxmlformats.org/officeDocument/2006/customXml" ds:itemID="{B3B4733E-A973-4D7F-AAF4-312AC136B0E8}"/>
</file>

<file path=docProps/app.xml><?xml version="1.0" encoding="utf-8"?>
<Properties xmlns="http://schemas.openxmlformats.org/officeDocument/2006/extended-properties" xmlns:vt="http://schemas.openxmlformats.org/officeDocument/2006/docPropsVTypes">
  <Template>Normal.dotm</Template>
  <TotalTime>608</TotalTime>
  <Pages>5</Pages>
  <Words>2401</Words>
  <Characters>13686</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Melissa Lawrence</dc:creator>
  <cp:lastModifiedBy>Dean Spaccavento</cp:lastModifiedBy>
  <cp:revision>7</cp:revision>
  <cp:lastPrinted>2020-09-28T05:12:00Z</cp:lastPrinted>
  <dcterms:created xsi:type="dcterms:W3CDTF">2020-10-18T18:51:00Z</dcterms:created>
  <dcterms:modified xsi:type="dcterms:W3CDTF">2020-10-19T04:57:00Z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0x0101004629361C0924AB47A2B13393BFDF77C4</vt:lpwstr>
  </property>
</Properties>
</file>