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97020D" w:rsidP="00663D71" w:rsidRDefault="00AB7815" w14:paraId="41290147" w14:textId="56429843">
      <w:pPr>
        <w:rPr>
          <w:rFonts w:ascii="Arial" w:hAnsi="Arial" w:cs="Arial"/>
          <w:sz w:val="20"/>
          <w:szCs w:val="20"/>
        </w:rPr>
      </w:pPr>
      <w:r>
        <w:rPr>
          <w:rFonts w:ascii="Arial" w:hAnsi="Arial" w:cs="Arial"/>
          <w:sz w:val="20"/>
          <w:szCs w:val="20"/>
        </w:rPr>
        <w:t>Energy Security Board</w:t>
      </w:r>
    </w:p>
    <w:p w:rsidRPr="00594A89" w:rsidR="0095542D" w:rsidP="00594A89" w:rsidRDefault="0095542D" w14:paraId="53D81C1A" w14:textId="4C3EFBD5">
      <w:pPr>
        <w:rPr>
          <w:rFonts w:ascii="Arial" w:hAnsi="Arial" w:cs="Arial"/>
          <w:sz w:val="20"/>
          <w:szCs w:val="20"/>
        </w:rPr>
      </w:pPr>
      <w:r w:rsidRPr="00594A89">
        <w:rPr>
          <w:rFonts w:ascii="Arial" w:hAnsi="Arial" w:cs="Arial"/>
          <w:sz w:val="20"/>
          <w:szCs w:val="20"/>
        </w:rPr>
        <w:t xml:space="preserve">info@esb.org.au </w:t>
      </w:r>
    </w:p>
    <w:p w:rsidR="0095542D" w:rsidP="00663D71" w:rsidRDefault="0095542D" w14:paraId="35E2F176" w14:textId="77777777">
      <w:pPr>
        <w:rPr>
          <w:rFonts w:ascii="Arial" w:hAnsi="Arial" w:cs="Arial"/>
          <w:sz w:val="20"/>
          <w:szCs w:val="20"/>
        </w:rPr>
      </w:pPr>
    </w:p>
    <w:p w:rsidR="0095542D" w:rsidP="00663D71" w:rsidRDefault="0095542D" w14:paraId="1FD2BA67" w14:textId="77777777">
      <w:pPr>
        <w:rPr>
          <w:rFonts w:ascii="Arial" w:hAnsi="Arial" w:cs="Arial"/>
          <w:sz w:val="20"/>
          <w:szCs w:val="20"/>
        </w:rPr>
      </w:pPr>
    </w:p>
    <w:p w:rsidRPr="0095542D" w:rsidR="0097020D" w:rsidP="00663D71" w:rsidRDefault="0095542D" w14:paraId="7A99CA5C" w14:textId="0EE91B8D">
      <w:pPr>
        <w:rPr>
          <w:rFonts w:ascii="Arial" w:hAnsi="Arial" w:cs="Arial"/>
          <w:sz w:val="20"/>
          <w:szCs w:val="20"/>
        </w:rPr>
      </w:pPr>
      <w:r w:rsidRPr="0095542D">
        <w:rPr>
          <w:rFonts w:ascii="Arial" w:hAnsi="Arial" w:cs="Arial"/>
          <w:sz w:val="20"/>
          <w:szCs w:val="20"/>
        </w:rPr>
        <w:t>28 July 2020</w:t>
      </w:r>
    </w:p>
    <w:p w:rsidR="0097020D" w:rsidP="00663D71" w:rsidRDefault="0097020D" w14:paraId="6F0159B6" w14:textId="77777777">
      <w:pPr>
        <w:rPr>
          <w:rFonts w:ascii="Arial" w:hAnsi="Arial" w:cs="Arial"/>
          <w:sz w:val="20"/>
          <w:szCs w:val="20"/>
        </w:rPr>
      </w:pPr>
    </w:p>
    <w:p w:rsidRPr="0097020D" w:rsidR="0097020D" w:rsidP="00663D71" w:rsidRDefault="0097020D" w14:paraId="4F43290D" w14:textId="4B5138A7">
      <w:pPr>
        <w:rPr>
          <w:rFonts w:ascii="Arial" w:hAnsi="Arial" w:cs="Arial"/>
          <w:sz w:val="20"/>
          <w:szCs w:val="20"/>
        </w:rPr>
      </w:pPr>
      <w:r>
        <w:rPr>
          <w:rFonts w:ascii="Arial" w:hAnsi="Arial" w:cs="Arial"/>
          <w:sz w:val="20"/>
          <w:szCs w:val="20"/>
        </w:rPr>
        <w:t xml:space="preserve">Dear </w:t>
      </w:r>
      <w:r w:rsidR="00193F74">
        <w:rPr>
          <w:rFonts w:ascii="Arial" w:hAnsi="Arial" w:cs="Arial"/>
          <w:sz w:val="20"/>
          <w:szCs w:val="20"/>
        </w:rPr>
        <w:t>Energy Security Board</w:t>
      </w:r>
    </w:p>
    <w:p w:rsidR="0097020D" w:rsidP="00663D71" w:rsidRDefault="0097020D" w14:paraId="3E315B23" w14:textId="77777777">
      <w:pPr>
        <w:rPr>
          <w:rFonts w:ascii="Arial" w:hAnsi="Arial" w:cs="Arial"/>
          <w:b/>
          <w:sz w:val="20"/>
          <w:szCs w:val="20"/>
        </w:rPr>
      </w:pPr>
    </w:p>
    <w:p w:rsidR="0097020D" w:rsidP="00663D71" w:rsidRDefault="0097020D" w14:paraId="4D388F66" w14:textId="394CC725">
      <w:pPr>
        <w:rPr>
          <w:rFonts w:ascii="Arial" w:hAnsi="Arial" w:cs="Arial"/>
          <w:b/>
          <w:sz w:val="20"/>
          <w:szCs w:val="20"/>
        </w:rPr>
      </w:pPr>
      <w:r w:rsidRPr="0097020D">
        <w:rPr>
          <w:rFonts w:ascii="Arial" w:hAnsi="Arial" w:cs="Arial"/>
          <w:b/>
          <w:sz w:val="20"/>
          <w:szCs w:val="20"/>
        </w:rPr>
        <w:t xml:space="preserve">Re: </w:t>
      </w:r>
      <w:r w:rsidR="0095542D">
        <w:rPr>
          <w:rFonts w:ascii="Arial" w:hAnsi="Arial" w:cs="Arial"/>
          <w:b/>
          <w:sz w:val="20"/>
          <w:szCs w:val="20"/>
        </w:rPr>
        <w:t>Energy Security Board (ESB)</w:t>
      </w:r>
      <w:r w:rsidR="00AB7815">
        <w:rPr>
          <w:rFonts w:ascii="Arial" w:hAnsi="Arial" w:cs="Arial"/>
          <w:b/>
          <w:sz w:val="20"/>
          <w:szCs w:val="20"/>
        </w:rPr>
        <w:t xml:space="preserve"> – Governance of DER Technical Standard</w:t>
      </w:r>
      <w:r w:rsidR="0095542D">
        <w:rPr>
          <w:rFonts w:ascii="Arial" w:hAnsi="Arial" w:cs="Arial"/>
          <w:b/>
          <w:sz w:val="20"/>
          <w:szCs w:val="20"/>
        </w:rPr>
        <w:t>s Consultation Paper</w:t>
      </w:r>
    </w:p>
    <w:p w:rsidR="0097020D" w:rsidP="00663D71" w:rsidRDefault="0097020D" w14:paraId="3995FAC3" w14:textId="61D3406B">
      <w:pPr>
        <w:rPr>
          <w:rStyle w:val="l11"/>
          <w:rFonts w:ascii="Arial" w:hAnsi="Arial" w:cs="Arial"/>
          <w:color w:val="000000"/>
          <w:sz w:val="20"/>
          <w:bdr w:val="none" w:color="auto" w:sz="0" w:space="0" w:frame="1"/>
          <w:shd w:val="clear" w:color="auto" w:fill="FFFFFF"/>
        </w:rPr>
      </w:pPr>
      <w:r w:rsidRPr="00934E4F">
        <w:rPr>
          <w:rStyle w:val="l11"/>
          <w:rFonts w:ascii="Arial" w:hAnsi="Arial" w:cs="Arial"/>
          <w:color w:val="000000"/>
          <w:sz w:val="20"/>
          <w:bdr w:val="none" w:color="auto" w:sz="0" w:space="0" w:frame="1"/>
          <w:shd w:val="clear" w:color="auto" w:fill="FFFFFF"/>
        </w:rPr>
        <w:t xml:space="preserve">Tesla Motors Australia, Pty Ltd (Tesla) welcomes the opportunity to provide </w:t>
      </w:r>
      <w:r w:rsidR="006867A6">
        <w:rPr>
          <w:rStyle w:val="l11"/>
          <w:rFonts w:ascii="Arial" w:hAnsi="Arial" w:cs="Arial"/>
          <w:color w:val="000000"/>
          <w:sz w:val="20"/>
          <w:bdr w:val="none" w:color="auto" w:sz="0" w:space="0" w:frame="1"/>
          <w:shd w:val="clear" w:color="auto" w:fill="FFFFFF"/>
        </w:rPr>
        <w:t xml:space="preserve">feedback </w:t>
      </w:r>
      <w:r w:rsidR="006F4181">
        <w:rPr>
          <w:rStyle w:val="l11"/>
          <w:rFonts w:ascii="Arial" w:hAnsi="Arial" w:cs="Arial"/>
          <w:color w:val="000000"/>
          <w:sz w:val="20"/>
          <w:bdr w:val="none" w:color="auto" w:sz="0" w:space="0" w:frame="1"/>
          <w:shd w:val="clear" w:color="auto" w:fill="FFFFFF"/>
        </w:rPr>
        <w:t xml:space="preserve">to </w:t>
      </w:r>
      <w:r w:rsidR="006867A6">
        <w:rPr>
          <w:rStyle w:val="l11"/>
          <w:rFonts w:ascii="Arial" w:hAnsi="Arial" w:cs="Arial"/>
          <w:color w:val="000000"/>
          <w:sz w:val="20"/>
          <w:bdr w:val="none" w:color="auto" w:sz="0" w:space="0" w:frame="1"/>
          <w:shd w:val="clear" w:color="auto" w:fill="FFFFFF"/>
        </w:rPr>
        <w:t xml:space="preserve">the </w:t>
      </w:r>
      <w:r w:rsidR="00AB7815">
        <w:rPr>
          <w:rStyle w:val="l11"/>
          <w:rFonts w:ascii="Arial" w:hAnsi="Arial" w:cs="Arial"/>
          <w:color w:val="000000"/>
          <w:sz w:val="20"/>
          <w:bdr w:val="none" w:color="auto" w:sz="0" w:space="0" w:frame="1"/>
          <w:shd w:val="clear" w:color="auto" w:fill="FFFFFF"/>
        </w:rPr>
        <w:t>Energy Security Board</w:t>
      </w:r>
      <w:r w:rsidR="0095542D">
        <w:rPr>
          <w:rStyle w:val="l11"/>
          <w:rFonts w:ascii="Arial" w:hAnsi="Arial" w:cs="Arial"/>
          <w:color w:val="000000"/>
          <w:sz w:val="20"/>
          <w:bdr w:val="none" w:color="auto" w:sz="0" w:space="0" w:frame="1"/>
          <w:shd w:val="clear" w:color="auto" w:fill="FFFFFF"/>
        </w:rPr>
        <w:t xml:space="preserve"> (ESB)</w:t>
      </w:r>
      <w:r w:rsidR="00193F74">
        <w:rPr>
          <w:rStyle w:val="l11"/>
          <w:rFonts w:ascii="Arial" w:hAnsi="Arial" w:cs="Arial"/>
          <w:color w:val="000000"/>
          <w:sz w:val="20"/>
          <w:bdr w:val="none" w:color="auto" w:sz="0" w:space="0" w:frame="1"/>
          <w:shd w:val="clear" w:color="auto" w:fill="FFFFFF"/>
        </w:rPr>
        <w:t xml:space="preserve"> on the “Governance of DER Technical Standards – Consultation Paper”.</w:t>
      </w:r>
    </w:p>
    <w:p w:rsidR="00DD2D1A" w:rsidP="00663D71" w:rsidRDefault="00B7444B" w14:paraId="36B29184" w14:textId="088F9C36">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Tesla supports an increased focus on governance of DER in Australia. This is an important recognition of the role that DER plays in the current energy mix and will increasingly play over the next decade. It also </w:t>
      </w:r>
      <w:r w:rsidR="00B77ACC">
        <w:rPr>
          <w:rStyle w:val="l11"/>
          <w:rFonts w:ascii="Arial" w:hAnsi="Arial" w:cs="Arial"/>
          <w:color w:val="000000"/>
          <w:sz w:val="20"/>
          <w:bdr w:val="none" w:color="auto" w:sz="0" w:space="0" w:frame="1"/>
          <w:shd w:val="clear" w:color="auto" w:fill="FFFFFF"/>
        </w:rPr>
        <w:t xml:space="preserve">recognises </w:t>
      </w:r>
      <w:r>
        <w:rPr>
          <w:rStyle w:val="l11"/>
          <w:rFonts w:ascii="Arial" w:hAnsi="Arial" w:cs="Arial"/>
          <w:color w:val="000000"/>
          <w:sz w:val="20"/>
          <w:bdr w:val="none" w:color="auto" w:sz="0" w:space="0" w:frame="1"/>
          <w:shd w:val="clear" w:color="auto" w:fill="FFFFFF"/>
        </w:rPr>
        <w:t xml:space="preserve">a major gap </w:t>
      </w:r>
      <w:r w:rsidR="00B77ACC">
        <w:rPr>
          <w:rStyle w:val="l11"/>
          <w:rFonts w:ascii="Arial" w:hAnsi="Arial" w:cs="Arial"/>
          <w:color w:val="000000"/>
          <w:sz w:val="20"/>
          <w:bdr w:val="none" w:color="auto" w:sz="0" w:space="0" w:frame="1"/>
          <w:shd w:val="clear" w:color="auto" w:fill="FFFFFF"/>
        </w:rPr>
        <w:t>that currently exists, as</w:t>
      </w:r>
      <w:r w:rsidR="00DD2D1A">
        <w:rPr>
          <w:rStyle w:val="l11"/>
          <w:rFonts w:ascii="Arial" w:hAnsi="Arial" w:cs="Arial"/>
          <w:color w:val="000000"/>
          <w:sz w:val="20"/>
          <w:bdr w:val="none" w:color="auto" w:sz="0" w:space="0" w:frame="1"/>
          <w:shd w:val="clear" w:color="auto" w:fill="FFFFFF"/>
        </w:rPr>
        <w:t xml:space="preserve"> ownership of DER </w:t>
      </w:r>
      <w:r w:rsidR="00B77ACC">
        <w:rPr>
          <w:rStyle w:val="l11"/>
          <w:rFonts w:ascii="Arial" w:hAnsi="Arial" w:cs="Arial"/>
          <w:color w:val="000000"/>
          <w:sz w:val="20"/>
          <w:bdr w:val="none" w:color="auto" w:sz="0" w:space="0" w:frame="1"/>
          <w:shd w:val="clear" w:color="auto" w:fill="FFFFFF"/>
        </w:rPr>
        <w:t>is spread across multiple regulatory and industry bodies at a state and federal level</w:t>
      </w:r>
      <w:r w:rsidR="00DD2D1A">
        <w:rPr>
          <w:rStyle w:val="l11"/>
          <w:rFonts w:ascii="Arial" w:hAnsi="Arial" w:cs="Arial"/>
          <w:color w:val="000000"/>
          <w:sz w:val="20"/>
          <w:bdr w:val="none" w:color="auto" w:sz="0" w:space="0" w:frame="1"/>
          <w:shd w:val="clear" w:color="auto" w:fill="FFFFFF"/>
        </w:rPr>
        <w:t xml:space="preserve">. </w:t>
      </w:r>
    </w:p>
    <w:p w:rsidR="00AB7815" w:rsidP="00663D71" w:rsidRDefault="00AB7815" w14:paraId="08687A2B" w14:textId="02D2F72D">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We believe that a coordinated and long-term approach to product safety, installation, technical performance and market integration of these assets is absolutely critical.</w:t>
      </w:r>
      <w:r w:rsidR="00A42F12">
        <w:rPr>
          <w:rStyle w:val="l11"/>
          <w:rFonts w:ascii="Arial" w:hAnsi="Arial" w:cs="Arial"/>
          <w:color w:val="000000"/>
          <w:sz w:val="20"/>
          <w:bdr w:val="none" w:color="auto" w:sz="0" w:space="0" w:frame="1"/>
          <w:shd w:val="clear" w:color="auto" w:fill="FFFFFF"/>
        </w:rPr>
        <w:t xml:space="preserve"> As such we </w:t>
      </w:r>
      <w:r w:rsidR="00003737">
        <w:rPr>
          <w:rStyle w:val="l11"/>
          <w:rFonts w:ascii="Arial" w:hAnsi="Arial" w:cs="Arial"/>
          <w:color w:val="000000"/>
          <w:sz w:val="20"/>
          <w:bdr w:val="none" w:color="auto" w:sz="0" w:space="0" w:frame="1"/>
          <w:shd w:val="clear" w:color="auto" w:fill="FFFFFF"/>
        </w:rPr>
        <w:t xml:space="preserve">fully </w:t>
      </w:r>
      <w:r w:rsidR="00A42F12">
        <w:rPr>
          <w:rStyle w:val="l11"/>
          <w:rFonts w:ascii="Arial" w:hAnsi="Arial" w:cs="Arial"/>
          <w:color w:val="000000"/>
          <w:sz w:val="20"/>
          <w:bdr w:val="none" w:color="auto" w:sz="0" w:space="0" w:frame="1"/>
          <w:shd w:val="clear" w:color="auto" w:fill="FFFFFF"/>
        </w:rPr>
        <w:t xml:space="preserve">support the suggested approach to establishing a </w:t>
      </w:r>
      <w:r w:rsidRPr="00A42F12" w:rsidR="00A42F12">
        <w:rPr>
          <w:rStyle w:val="l11"/>
          <w:rFonts w:ascii="Arial" w:hAnsi="Arial" w:cs="Arial"/>
          <w:color w:val="000000"/>
          <w:sz w:val="20"/>
          <w:bdr w:val="none" w:color="auto" w:sz="0" w:space="0" w:frame="1"/>
          <w:shd w:val="clear" w:color="auto" w:fill="FFFFFF"/>
        </w:rPr>
        <w:t>DER Standards Governance Committee under the National Electricity Rules (NER)</w:t>
      </w:r>
      <w:r w:rsidR="00F24998">
        <w:rPr>
          <w:rStyle w:val="l11"/>
          <w:rFonts w:ascii="Arial" w:hAnsi="Arial" w:cs="Arial"/>
          <w:color w:val="000000"/>
          <w:sz w:val="20"/>
          <w:bdr w:val="none" w:color="auto" w:sz="0" w:space="0" w:frame="1"/>
          <w:shd w:val="clear" w:color="auto" w:fill="FFFFFF"/>
        </w:rPr>
        <w:t>.</w:t>
      </w:r>
    </w:p>
    <w:p w:rsidR="00F24998" w:rsidP="00663D71" w:rsidRDefault="00F24998" w14:paraId="72613237" w14:textId="2091077B">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Ou</w:t>
      </w:r>
      <w:r w:rsidR="007107C3">
        <w:rPr>
          <w:rStyle w:val="l11"/>
          <w:rFonts w:ascii="Arial" w:hAnsi="Arial" w:cs="Arial"/>
          <w:color w:val="000000"/>
          <w:sz w:val="20"/>
          <w:bdr w:val="none" w:color="auto" w:sz="0" w:space="0" w:frame="1"/>
          <w:shd w:val="clear" w:color="auto" w:fill="FFFFFF"/>
        </w:rPr>
        <w:t>r priorities in respect of DER g</w:t>
      </w:r>
      <w:r>
        <w:rPr>
          <w:rStyle w:val="l11"/>
          <w:rFonts w:ascii="Arial" w:hAnsi="Arial" w:cs="Arial"/>
          <w:color w:val="000000"/>
          <w:sz w:val="20"/>
          <w:bdr w:val="none" w:color="auto" w:sz="0" w:space="0" w:frame="1"/>
          <w:shd w:val="clear" w:color="auto" w:fill="FFFFFF"/>
        </w:rPr>
        <w:t>overnance are:</w:t>
      </w:r>
    </w:p>
    <w:p w:rsidR="00F24998" w:rsidP="00232A39" w:rsidRDefault="00F24998" w14:paraId="27365B81" w14:textId="156C0FD1">
      <w:pPr>
        <w:pStyle w:val="ListParagraph"/>
        <w:numPr>
          <w:ilvl w:val="0"/>
          <w:numId w:val="5"/>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Creating the best customer experience – reducing green tape, minimising risks to consumers (in respect of safety and any reduction in system efficacy), and ensuring consumers are compensated for their contribution to the market.</w:t>
      </w:r>
    </w:p>
    <w:p w:rsidR="00F24998" w:rsidP="00232A39" w:rsidRDefault="00F24998" w14:paraId="6DA78549" w14:textId="0CA2820B">
      <w:pPr>
        <w:pStyle w:val="ListParagraph"/>
        <w:numPr>
          <w:ilvl w:val="0"/>
          <w:numId w:val="5"/>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Clear industry roadmap – timelines, industry participation etc.</w:t>
      </w:r>
    </w:p>
    <w:p w:rsidR="00F24998" w:rsidP="00232A39" w:rsidRDefault="00F24998" w14:paraId="5163A53B" w14:textId="07253E26">
      <w:pPr>
        <w:pStyle w:val="ListParagraph"/>
        <w:numPr>
          <w:ilvl w:val="0"/>
          <w:numId w:val="5"/>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Appropriate compliance timeframes – </w:t>
      </w:r>
      <w:r w:rsidR="00193F74">
        <w:rPr>
          <w:rStyle w:val="l11"/>
          <w:rFonts w:ascii="Arial" w:hAnsi="Arial" w:cs="Arial"/>
          <w:color w:val="000000"/>
          <w:sz w:val="20"/>
          <w:bdr w:val="none" w:color="auto" w:sz="0" w:space="0" w:frame="1"/>
          <w:shd w:val="clear" w:color="auto" w:fill="FFFFFF"/>
        </w:rPr>
        <w:t>ensuring that the DER Standards plan is released with sufficient consultation periods, and allows for appropriate compliance timeframes.</w:t>
      </w:r>
    </w:p>
    <w:p w:rsidRPr="00F24998" w:rsidR="00F24998" w:rsidP="00232A39" w:rsidRDefault="00F24998" w14:paraId="7134E64C" w14:textId="72DE7039">
      <w:pPr>
        <w:pStyle w:val="ListParagraph"/>
        <w:numPr>
          <w:ilvl w:val="0"/>
          <w:numId w:val="5"/>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Coordination with associated DER market reform work – critical that </w:t>
      </w:r>
      <w:r w:rsidR="00193F74">
        <w:rPr>
          <w:rStyle w:val="l11"/>
          <w:rFonts w:ascii="Arial" w:hAnsi="Arial" w:cs="Arial"/>
          <w:color w:val="000000"/>
          <w:sz w:val="20"/>
          <w:bdr w:val="none" w:color="auto" w:sz="0" w:space="0" w:frame="1"/>
          <w:shd w:val="clear" w:color="auto" w:fill="FFFFFF"/>
        </w:rPr>
        <w:t>the work done on technical standards is properly coordinated with associated work done integrating DER into the markets. This will be particularly important to ensure that potential future markets are not sacrificed with the establishment of technical standards.</w:t>
      </w:r>
    </w:p>
    <w:p w:rsidR="00AB7815" w:rsidP="00663D71" w:rsidRDefault="000B21B0" w14:paraId="0A63AE7E" w14:textId="621EC541">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Taking these priorities into account, it is important that the remit of the DER Governance Committee goes further than developing </w:t>
      </w:r>
      <w:r>
        <w:rPr>
          <w:rStyle w:val="l11"/>
          <w:rFonts w:ascii="Arial" w:hAnsi="Arial" w:cs="Arial"/>
          <w:b/>
          <w:color w:val="000000"/>
          <w:sz w:val="20"/>
          <w:u w:val="single"/>
          <w:bdr w:val="none" w:color="auto" w:sz="0" w:space="0" w:frame="1"/>
          <w:shd w:val="clear" w:color="auto" w:fill="FFFFFF"/>
        </w:rPr>
        <w:t>new</w:t>
      </w:r>
      <w:r>
        <w:rPr>
          <w:rStyle w:val="l11"/>
          <w:rFonts w:ascii="Arial" w:hAnsi="Arial" w:cs="Arial"/>
          <w:color w:val="000000"/>
          <w:sz w:val="20"/>
          <w:bdr w:val="none" w:color="auto" w:sz="0" w:space="0" w:frame="1"/>
          <w:shd w:val="clear" w:color="auto" w:fill="FFFFFF"/>
        </w:rPr>
        <w:t xml:space="preserve"> standards. It must also focus on addressing the current governance issues and recommend critical reforms for the way all relevant regulatory bodies work in this space.</w:t>
      </w:r>
      <w:r w:rsidR="003F4062">
        <w:rPr>
          <w:rStyle w:val="l11"/>
          <w:rFonts w:ascii="Arial" w:hAnsi="Arial" w:cs="Arial"/>
          <w:color w:val="000000"/>
          <w:sz w:val="20"/>
          <w:bdr w:val="none" w:color="auto" w:sz="0" w:space="0" w:frame="1"/>
          <w:shd w:val="clear" w:color="auto" w:fill="FFFFFF"/>
        </w:rPr>
        <w:t xml:space="preserve"> Tesla believes that there are three key areas that need to be addressed:</w:t>
      </w:r>
    </w:p>
    <w:p w:rsidR="003F4062" w:rsidP="00232A39" w:rsidRDefault="003F4062" w14:paraId="51824719" w14:textId="317A2A27">
      <w:pPr>
        <w:pStyle w:val="ListParagraph"/>
        <w:numPr>
          <w:ilvl w:val="0"/>
          <w:numId w:val="7"/>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Addressing key underlying issues in the DER Standards Setting process that currently exist, and will not necessarily be </w:t>
      </w:r>
      <w:r w:rsidR="0095542D">
        <w:rPr>
          <w:rStyle w:val="l11"/>
          <w:rFonts w:ascii="Arial" w:hAnsi="Arial" w:cs="Arial"/>
          <w:color w:val="000000"/>
          <w:sz w:val="20"/>
          <w:bdr w:val="none" w:color="auto" w:sz="0" w:space="0" w:frame="1"/>
          <w:shd w:val="clear" w:color="auto" w:fill="FFFFFF"/>
        </w:rPr>
        <w:t>resolved by a coordinating body</w:t>
      </w:r>
    </w:p>
    <w:p w:rsidR="003F4062" w:rsidP="00232A39" w:rsidRDefault="003F4062" w14:paraId="3F7DD44C" w14:textId="757E1956">
      <w:pPr>
        <w:pStyle w:val="ListParagraph"/>
        <w:numPr>
          <w:ilvl w:val="0"/>
          <w:numId w:val="7"/>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Establishing clear roles and responsibilities for all DER regulatory bodies, and</w:t>
      </w:r>
    </w:p>
    <w:p w:rsidRPr="003F4062" w:rsidR="003F4062" w:rsidP="00232A39" w:rsidRDefault="003F4062" w14:paraId="019EDC6D" w14:textId="2307E846">
      <w:pPr>
        <w:pStyle w:val="ListParagraph"/>
        <w:numPr>
          <w:ilvl w:val="0"/>
          <w:numId w:val="7"/>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Establishing the DER Standards Governance Committee to manage a streamlined future process.</w:t>
      </w:r>
    </w:p>
    <w:p w:rsidRPr="00DD6E67" w:rsidR="00DD6E67" w:rsidP="00663D71" w:rsidRDefault="004462B1" w14:paraId="1159CFF8" w14:textId="413E3E70">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These three processes may be considered as a slightly </w:t>
      </w:r>
      <w:r w:rsidR="00193F74">
        <w:rPr>
          <w:rStyle w:val="l11"/>
          <w:rFonts w:ascii="Arial" w:hAnsi="Arial" w:cs="Arial"/>
          <w:color w:val="000000"/>
          <w:sz w:val="20"/>
          <w:bdr w:val="none" w:color="auto" w:sz="0" w:space="0" w:frame="1"/>
          <w:shd w:val="clear" w:color="auto" w:fill="FFFFFF"/>
        </w:rPr>
        <w:t>expanded Option 3</w:t>
      </w:r>
      <w:r>
        <w:rPr>
          <w:rStyle w:val="l11"/>
          <w:rFonts w:ascii="Arial" w:hAnsi="Arial" w:cs="Arial"/>
          <w:color w:val="000000"/>
          <w:sz w:val="20"/>
          <w:bdr w:val="none" w:color="auto" w:sz="0" w:space="0" w:frame="1"/>
          <w:shd w:val="clear" w:color="auto" w:fill="FFFFFF"/>
        </w:rPr>
        <w:t xml:space="preserve"> presented in the ESB consultation paper, however we believe that doing these three things are critical to making the establishment of a new DER Standards Governance Committee a success. There is work that can be </w:t>
      </w:r>
      <w:r>
        <w:rPr>
          <w:rStyle w:val="l11"/>
          <w:rFonts w:ascii="Arial" w:hAnsi="Arial" w:cs="Arial"/>
          <w:color w:val="000000"/>
          <w:sz w:val="20"/>
          <w:bdr w:val="none" w:color="auto" w:sz="0" w:space="0" w:frame="1"/>
          <w:shd w:val="clear" w:color="auto" w:fill="FFFFFF"/>
        </w:rPr>
        <w:lastRenderedPageBreak/>
        <w:t>done in each of these three areas without requiring wholesale legislative change</w:t>
      </w:r>
      <w:r w:rsidR="00193F74">
        <w:rPr>
          <w:rStyle w:val="l11"/>
          <w:rFonts w:ascii="Arial" w:hAnsi="Arial" w:cs="Arial"/>
          <w:color w:val="000000"/>
          <w:sz w:val="20"/>
          <w:bdr w:val="none" w:color="auto" w:sz="0" w:space="0" w:frame="1"/>
          <w:shd w:val="clear" w:color="auto" w:fill="FFFFFF"/>
        </w:rPr>
        <w:t>. So it would be less work than Option 4, and there are a number of work programs that can be run in parallel.</w:t>
      </w:r>
    </w:p>
    <w:p w:rsidRPr="00DD2D1A" w:rsidR="00DD2D1A" w:rsidP="00663D71" w:rsidRDefault="00DD2D1A" w14:paraId="1BA28247" w14:textId="44454155">
      <w:pPr>
        <w:rPr>
          <w:rStyle w:val="l11"/>
          <w:rFonts w:ascii="Arial" w:hAnsi="Arial" w:cs="Arial"/>
          <w:b/>
          <w:color w:val="000000"/>
          <w:sz w:val="20"/>
          <w:bdr w:val="none" w:color="auto" w:sz="0" w:space="0" w:frame="1"/>
          <w:shd w:val="clear" w:color="auto" w:fill="FFFFFF"/>
        </w:rPr>
      </w:pPr>
      <w:r>
        <w:rPr>
          <w:rStyle w:val="l11"/>
          <w:rFonts w:ascii="Arial" w:hAnsi="Arial" w:cs="Arial"/>
          <w:b/>
          <w:color w:val="000000"/>
          <w:sz w:val="20"/>
          <w:bdr w:val="none" w:color="auto" w:sz="0" w:space="0" w:frame="1"/>
          <w:shd w:val="clear" w:color="auto" w:fill="FFFFFF"/>
        </w:rPr>
        <w:t xml:space="preserve">Current </w:t>
      </w:r>
      <w:r w:rsidR="00DD6E67">
        <w:rPr>
          <w:rStyle w:val="l11"/>
          <w:rFonts w:ascii="Arial" w:hAnsi="Arial" w:cs="Arial"/>
          <w:b/>
          <w:color w:val="000000"/>
          <w:sz w:val="20"/>
          <w:bdr w:val="none" w:color="auto" w:sz="0" w:space="0" w:frame="1"/>
          <w:shd w:val="clear" w:color="auto" w:fill="FFFFFF"/>
        </w:rPr>
        <w:t>issues</w:t>
      </w:r>
      <w:r>
        <w:rPr>
          <w:rStyle w:val="l11"/>
          <w:rFonts w:ascii="Arial" w:hAnsi="Arial" w:cs="Arial"/>
          <w:b/>
          <w:color w:val="000000"/>
          <w:sz w:val="20"/>
          <w:bdr w:val="none" w:color="auto" w:sz="0" w:space="0" w:frame="1"/>
          <w:shd w:val="clear" w:color="auto" w:fill="FFFFFF"/>
        </w:rPr>
        <w:t xml:space="preserve"> for DER standards and governance across Australia</w:t>
      </w:r>
    </w:p>
    <w:p w:rsidR="00026B64" w:rsidP="00663D71" w:rsidRDefault="00DA6115" w14:paraId="1484BE36" w14:textId="358CEA69">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As a general principle, Tesla supports reform of the way DER is governed across Australia. </w:t>
      </w:r>
      <w:r w:rsidR="000B21B0">
        <w:rPr>
          <w:rStyle w:val="l11"/>
          <w:rFonts w:ascii="Arial" w:hAnsi="Arial" w:cs="Arial"/>
          <w:color w:val="000000"/>
          <w:sz w:val="20"/>
          <w:bdr w:val="none" w:color="auto" w:sz="0" w:space="0" w:frame="1"/>
          <w:shd w:val="clear" w:color="auto" w:fill="FFFFFF"/>
        </w:rPr>
        <w:t xml:space="preserve">This includes creating a governance structure for setting new standards. The proposed DER Standards Governance Committee will, however, be guided and reliant on the work of relevant existing bodies contributing to DER requirements across the country. The Cutler Merz/ Sapere review for the ESB identified seven different governance arrangements </w:t>
      </w:r>
      <w:r w:rsidR="00193F74">
        <w:rPr>
          <w:rStyle w:val="l11"/>
          <w:rFonts w:ascii="Arial" w:hAnsi="Arial" w:cs="Arial"/>
          <w:color w:val="000000"/>
          <w:sz w:val="20"/>
          <w:bdr w:val="none" w:color="auto" w:sz="0" w:space="0" w:frame="1"/>
          <w:shd w:val="clear" w:color="auto" w:fill="FFFFFF"/>
        </w:rPr>
        <w:t>and a number of areas of improvement within those governance arrangements.</w:t>
      </w:r>
    </w:p>
    <w:p w:rsidR="00B7444B" w:rsidP="00663D71" w:rsidRDefault="003D7729" w14:paraId="4EE7FCD6" w14:textId="0D436B34">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Tesla’s view of the relevant bodies that are involved in the development and setting of standards, and ongoing compliance is set out below</w:t>
      </w:r>
      <w:r w:rsidR="00DD2D1A">
        <w:rPr>
          <w:rStyle w:val="l11"/>
          <w:rFonts w:ascii="Arial" w:hAnsi="Arial" w:cs="Arial"/>
          <w:color w:val="000000"/>
          <w:sz w:val="20"/>
          <w:bdr w:val="none" w:color="auto" w:sz="0" w:space="0" w:frame="1"/>
          <w:shd w:val="clear" w:color="auto" w:fill="FFFFFF"/>
        </w:rPr>
        <w:t>:</w:t>
      </w:r>
    </w:p>
    <w:p w:rsidR="00DD2D1A" w:rsidP="00232A39" w:rsidRDefault="00DD2D1A" w14:paraId="1417B252" w14:textId="0A57409E">
      <w:pPr>
        <w:pStyle w:val="ListParagraph"/>
        <w:numPr>
          <w:ilvl w:val="0"/>
          <w:numId w:val="2"/>
        </w:numPr>
        <w:rPr>
          <w:rStyle w:val="l11"/>
          <w:rFonts w:ascii="Arial" w:hAnsi="Arial" w:cs="Arial"/>
          <w:color w:val="000000"/>
          <w:sz w:val="20"/>
          <w:bdr w:val="none" w:color="auto" w:sz="0" w:space="0" w:frame="1"/>
          <w:shd w:val="clear" w:color="auto" w:fill="FFFFFF"/>
        </w:rPr>
      </w:pPr>
      <w:r w:rsidRPr="00DD2D1A">
        <w:rPr>
          <w:rStyle w:val="l11"/>
          <w:rFonts w:ascii="Arial" w:hAnsi="Arial" w:cs="Arial"/>
          <w:b/>
          <w:color w:val="000000"/>
          <w:sz w:val="20"/>
          <w:bdr w:val="none" w:color="auto" w:sz="0" w:space="0" w:frame="1"/>
          <w:shd w:val="clear" w:color="auto" w:fill="FFFFFF"/>
        </w:rPr>
        <w:t>Technical performance</w:t>
      </w:r>
      <w:r>
        <w:rPr>
          <w:rStyle w:val="l11"/>
          <w:rFonts w:ascii="Arial" w:hAnsi="Arial" w:cs="Arial"/>
          <w:color w:val="000000"/>
          <w:sz w:val="20"/>
          <w:bdr w:val="none" w:color="auto" w:sz="0" w:space="0" w:frame="1"/>
          <w:shd w:val="clear" w:color="auto" w:fill="FFFFFF"/>
        </w:rPr>
        <w:t xml:space="preserve">: set by a combination of DNSPs, AEMO, Standards Australia and increasingly state </w:t>
      </w:r>
      <w:r w:rsidR="000B21B0">
        <w:rPr>
          <w:rStyle w:val="l11"/>
          <w:rFonts w:ascii="Arial" w:hAnsi="Arial" w:cs="Arial"/>
          <w:color w:val="000000"/>
          <w:sz w:val="20"/>
          <w:bdr w:val="none" w:color="auto" w:sz="0" w:space="0" w:frame="1"/>
          <w:shd w:val="clear" w:color="auto" w:fill="FFFFFF"/>
        </w:rPr>
        <w:t>governments</w:t>
      </w:r>
    </w:p>
    <w:p w:rsidR="00DD2D1A" w:rsidP="00232A39" w:rsidRDefault="00DD2D1A" w14:paraId="29551E30" w14:textId="025CD5A0">
      <w:pPr>
        <w:pStyle w:val="ListParagraph"/>
        <w:numPr>
          <w:ilvl w:val="0"/>
          <w:numId w:val="2"/>
        </w:numPr>
        <w:rPr>
          <w:rStyle w:val="l11"/>
          <w:rFonts w:ascii="Arial" w:hAnsi="Arial" w:cs="Arial"/>
          <w:color w:val="000000"/>
          <w:sz w:val="20"/>
          <w:bdr w:val="none" w:color="auto" w:sz="0" w:space="0" w:frame="1"/>
          <w:shd w:val="clear" w:color="auto" w:fill="FFFFFF"/>
        </w:rPr>
      </w:pPr>
      <w:r w:rsidRPr="00DD2D1A">
        <w:rPr>
          <w:rStyle w:val="l11"/>
          <w:rFonts w:ascii="Arial" w:hAnsi="Arial" w:cs="Arial"/>
          <w:b/>
          <w:color w:val="000000"/>
          <w:sz w:val="20"/>
          <w:bdr w:val="none" w:color="auto" w:sz="0" w:space="0" w:frame="1"/>
          <w:shd w:val="clear" w:color="auto" w:fill="FFFFFF"/>
        </w:rPr>
        <w:t>DER product safety</w:t>
      </w:r>
      <w:r>
        <w:rPr>
          <w:rStyle w:val="l11"/>
          <w:rFonts w:ascii="Arial" w:hAnsi="Arial" w:cs="Arial"/>
          <w:color w:val="000000"/>
          <w:sz w:val="20"/>
          <w:bdr w:val="none" w:color="auto" w:sz="0" w:space="0" w:frame="1"/>
          <w:shd w:val="clear" w:color="auto" w:fill="FFFFFF"/>
        </w:rPr>
        <w:t>: no real ownership. Combination of industry led work (BESS Battery Safety Best Practice Guide) and Clean Energy Council (CEC) listing requirements enforceable only through state subsidy schemes.</w:t>
      </w:r>
    </w:p>
    <w:p w:rsidR="00DD2D1A" w:rsidP="00232A39" w:rsidRDefault="00DD2D1A" w14:paraId="3E7C18CB" w14:textId="222F9F2B">
      <w:pPr>
        <w:pStyle w:val="ListParagraph"/>
        <w:numPr>
          <w:ilvl w:val="0"/>
          <w:numId w:val="2"/>
        </w:numPr>
        <w:rPr>
          <w:rStyle w:val="l11"/>
          <w:rFonts w:ascii="Arial" w:hAnsi="Arial" w:cs="Arial"/>
          <w:color w:val="000000"/>
          <w:sz w:val="20"/>
          <w:bdr w:val="none" w:color="auto" w:sz="0" w:space="0" w:frame="1"/>
          <w:shd w:val="clear" w:color="auto" w:fill="FFFFFF"/>
        </w:rPr>
      </w:pPr>
      <w:r>
        <w:rPr>
          <w:rStyle w:val="l11"/>
          <w:rFonts w:ascii="Arial" w:hAnsi="Arial" w:cs="Arial"/>
          <w:b/>
          <w:color w:val="000000"/>
          <w:sz w:val="20"/>
          <w:bdr w:val="none" w:color="auto" w:sz="0" w:space="0" w:frame="1"/>
          <w:shd w:val="clear" w:color="auto" w:fill="FFFFFF"/>
        </w:rPr>
        <w:t xml:space="preserve">Installation requirements: </w:t>
      </w:r>
      <w:r>
        <w:rPr>
          <w:rStyle w:val="l11"/>
          <w:rFonts w:ascii="Arial" w:hAnsi="Arial" w:cs="Arial"/>
          <w:color w:val="000000"/>
          <w:sz w:val="20"/>
          <w:bdr w:val="none" w:color="auto" w:sz="0" w:space="0" w:frame="1"/>
          <w:shd w:val="clear" w:color="auto" w:fill="FFFFFF"/>
        </w:rPr>
        <w:t>managed through Standards Australia (i.e. AS3000 and AS5139) and state electrical safety regulators.</w:t>
      </w:r>
    </w:p>
    <w:p w:rsidRPr="00DD2D1A" w:rsidR="00DD2D1A" w:rsidP="00232A39" w:rsidRDefault="00DD2D1A" w14:paraId="17F9EE78" w14:textId="625286D7">
      <w:pPr>
        <w:pStyle w:val="ListParagraph"/>
        <w:numPr>
          <w:ilvl w:val="0"/>
          <w:numId w:val="2"/>
        </w:numPr>
        <w:rPr>
          <w:rStyle w:val="l11"/>
          <w:rFonts w:ascii="Arial" w:hAnsi="Arial" w:cs="Arial"/>
          <w:color w:val="000000"/>
          <w:sz w:val="20"/>
          <w:bdr w:val="none" w:color="auto" w:sz="0" w:space="0" w:frame="1"/>
          <w:shd w:val="clear" w:color="auto" w:fill="FFFFFF"/>
        </w:rPr>
      </w:pPr>
      <w:r>
        <w:rPr>
          <w:rStyle w:val="l11"/>
          <w:rFonts w:ascii="Arial" w:hAnsi="Arial" w:cs="Arial"/>
          <w:b/>
          <w:color w:val="000000"/>
          <w:sz w:val="20"/>
          <w:bdr w:val="none" w:color="auto" w:sz="0" w:space="0" w:frame="1"/>
          <w:shd w:val="clear" w:color="auto" w:fill="FFFFFF"/>
        </w:rPr>
        <w:t>Interoperability and market integration requirements:</w:t>
      </w:r>
      <w:r>
        <w:rPr>
          <w:rStyle w:val="l11"/>
          <w:rFonts w:ascii="Arial" w:hAnsi="Arial" w:cs="Arial"/>
          <w:color w:val="000000"/>
          <w:sz w:val="20"/>
          <w:bdr w:val="none" w:color="auto" w:sz="0" w:space="0" w:frame="1"/>
          <w:shd w:val="clear" w:color="auto" w:fill="FFFFFF"/>
        </w:rPr>
        <w:t xml:space="preserve"> </w:t>
      </w:r>
      <w:r w:rsidR="00DA6115">
        <w:rPr>
          <w:rStyle w:val="l11"/>
          <w:rFonts w:ascii="Arial" w:hAnsi="Arial" w:cs="Arial"/>
          <w:color w:val="000000"/>
          <w:sz w:val="20"/>
          <w:bdr w:val="none" w:color="auto" w:sz="0" w:space="0" w:frame="1"/>
          <w:shd w:val="clear" w:color="auto" w:fill="FFFFFF"/>
        </w:rPr>
        <w:t>work underway</w:t>
      </w:r>
      <w:r>
        <w:rPr>
          <w:rStyle w:val="l11"/>
          <w:rFonts w:ascii="Arial" w:hAnsi="Arial" w:cs="Arial"/>
          <w:color w:val="000000"/>
          <w:sz w:val="20"/>
          <w:bdr w:val="none" w:color="auto" w:sz="0" w:space="0" w:frame="1"/>
          <w:shd w:val="clear" w:color="auto" w:fill="FFFFFF"/>
        </w:rPr>
        <w:t xml:space="preserve"> by AEMO and state governments as part of the state subsidy schemes.</w:t>
      </w:r>
      <w:r w:rsidR="00DA6115">
        <w:rPr>
          <w:rStyle w:val="l11"/>
          <w:rFonts w:ascii="Arial" w:hAnsi="Arial" w:cs="Arial"/>
          <w:color w:val="000000"/>
          <w:sz w:val="20"/>
          <w:bdr w:val="none" w:color="auto" w:sz="0" w:space="0" w:frame="1"/>
          <w:shd w:val="clear" w:color="auto" w:fill="FFFFFF"/>
        </w:rPr>
        <w:t xml:space="preserve"> No compliance mechanisms in place yet</w:t>
      </w:r>
    </w:p>
    <w:p w:rsidRPr="0002541A" w:rsidR="0002541A" w:rsidP="009605F7" w:rsidRDefault="003D7729" w14:paraId="3D9045A8" w14:textId="3309F513">
      <w:pPr>
        <w:rPr>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Tesla supports work in each of these areas being done by agencies that best able to identify and manage risks, provided that there is adequate indu</w:t>
      </w:r>
      <w:r w:rsidR="0002541A">
        <w:rPr>
          <w:rStyle w:val="l11"/>
          <w:rFonts w:ascii="Arial" w:hAnsi="Arial" w:cs="Arial"/>
          <w:color w:val="000000"/>
          <w:sz w:val="20"/>
          <w:bdr w:val="none" w:color="auto" w:sz="0" w:space="0" w:frame="1"/>
          <w:shd w:val="clear" w:color="auto" w:fill="FFFFFF"/>
        </w:rPr>
        <w:t>stry involvement throughout the process. However in the absence of a dedicated governance framework there are major flaws in each of the areas above, across the seven governance arrangements outlined by Cutler Merz/ Sapere. The ESB Consultation Paper notes the following issues:</w:t>
      </w:r>
    </w:p>
    <w:p w:rsidRPr="0002541A" w:rsidR="0002541A" w:rsidP="00232A39" w:rsidRDefault="0002541A" w14:paraId="62CD1B17" w14:textId="77777777">
      <w:pPr>
        <w:pStyle w:val="ListParagraph"/>
        <w:numPr>
          <w:ilvl w:val="0"/>
          <w:numId w:val="5"/>
        </w:numPr>
        <w:rPr>
          <w:rStyle w:val="l11"/>
          <w:rFonts w:ascii="Arial" w:hAnsi="Arial" w:cs="Arial"/>
          <w:sz w:val="20"/>
          <w:bdr w:val="none" w:color="auto" w:sz="0" w:space="0" w:frame="1"/>
          <w:shd w:val="clear" w:color="auto" w:fill="FFFFFF"/>
        </w:rPr>
      </w:pPr>
      <w:r w:rsidRPr="0002541A">
        <w:rPr>
          <w:rStyle w:val="l11"/>
          <w:rFonts w:ascii="Arial" w:hAnsi="Arial" w:cs="Arial"/>
          <w:sz w:val="20"/>
          <w:bdr w:val="none" w:color="auto" w:sz="0" w:space="0" w:frame="1"/>
          <w:shd w:val="clear" w:color="auto" w:fill="FFFFFF"/>
        </w:rPr>
        <w:t xml:space="preserve">An overall lack of leadership and coordination and clear objective as to how DER technical standards should be governed. </w:t>
      </w:r>
    </w:p>
    <w:p w:rsidRPr="0002541A" w:rsidR="0002541A" w:rsidP="00232A39" w:rsidRDefault="0002541A" w14:paraId="7195321F" w14:textId="16903F42">
      <w:pPr>
        <w:pStyle w:val="ListParagraph"/>
        <w:numPr>
          <w:ilvl w:val="0"/>
          <w:numId w:val="5"/>
        </w:numPr>
        <w:rPr>
          <w:rStyle w:val="l11"/>
          <w:rFonts w:ascii="Arial" w:hAnsi="Arial" w:cs="Arial"/>
          <w:sz w:val="20"/>
          <w:bdr w:val="none" w:color="auto" w:sz="0" w:space="0" w:frame="1"/>
          <w:shd w:val="clear" w:color="auto" w:fill="FFFFFF"/>
        </w:rPr>
      </w:pPr>
      <w:r w:rsidRPr="0002541A">
        <w:rPr>
          <w:rStyle w:val="l11"/>
          <w:rFonts w:ascii="Arial" w:hAnsi="Arial" w:cs="Arial"/>
          <w:sz w:val="20"/>
          <w:bdr w:val="none" w:color="auto" w:sz="0" w:space="0" w:frame="1"/>
          <w:shd w:val="clear" w:color="auto" w:fill="FFFFFF"/>
        </w:rPr>
        <w:t xml:space="preserve">Weaknesses in the Standards Australia technical standards process in terms of speed, participation and decision making not being explicitly aligned with National Electricity Objective (NEO). </w:t>
      </w:r>
    </w:p>
    <w:p w:rsidRPr="0002541A" w:rsidR="0002541A" w:rsidP="00232A39" w:rsidRDefault="0002541A" w14:paraId="03B0B744" w14:textId="7AF3E777">
      <w:pPr>
        <w:pStyle w:val="ListParagraph"/>
        <w:numPr>
          <w:ilvl w:val="0"/>
          <w:numId w:val="5"/>
        </w:numPr>
        <w:rPr>
          <w:rStyle w:val="l11"/>
          <w:rFonts w:ascii="Arial" w:hAnsi="Arial" w:cs="Arial"/>
          <w:sz w:val="20"/>
          <w:bdr w:val="none" w:color="auto" w:sz="0" w:space="0" w:frame="1"/>
          <w:shd w:val="clear" w:color="auto" w:fill="FFFFFF"/>
        </w:rPr>
      </w:pPr>
      <w:r w:rsidRPr="0002541A">
        <w:rPr>
          <w:rStyle w:val="l11"/>
          <w:rFonts w:ascii="Arial" w:hAnsi="Arial" w:cs="Arial"/>
          <w:sz w:val="20"/>
          <w:bdr w:val="none" w:color="auto" w:sz="0" w:space="0" w:frame="1"/>
          <w:shd w:val="clear" w:color="auto" w:fill="FFFFFF"/>
        </w:rPr>
        <w:t xml:space="preserve">Lack of harmonisation in network connection standards across DNSPs. </w:t>
      </w:r>
    </w:p>
    <w:p w:rsidR="0002541A" w:rsidP="00232A39" w:rsidRDefault="0002541A" w14:paraId="2D7363AD" w14:textId="44EC233F">
      <w:pPr>
        <w:pStyle w:val="ListParagraph"/>
        <w:numPr>
          <w:ilvl w:val="0"/>
          <w:numId w:val="5"/>
        </w:numPr>
        <w:rPr>
          <w:rStyle w:val="l11"/>
          <w:rFonts w:ascii="Arial" w:hAnsi="Arial" w:cs="Arial"/>
          <w:sz w:val="20"/>
          <w:bdr w:val="none" w:color="auto" w:sz="0" w:space="0" w:frame="1"/>
          <w:shd w:val="clear" w:color="auto" w:fill="FFFFFF"/>
        </w:rPr>
      </w:pPr>
      <w:r w:rsidRPr="0002541A">
        <w:rPr>
          <w:rStyle w:val="l11"/>
          <w:rFonts w:ascii="Arial" w:hAnsi="Arial" w:cs="Arial"/>
          <w:sz w:val="20"/>
          <w:bdr w:val="none" w:color="auto" w:sz="0" w:space="0" w:frame="1"/>
          <w:shd w:val="clear" w:color="auto" w:fill="FFFFFF"/>
        </w:rPr>
        <w:t xml:space="preserve">Under-resourcing of compliance and enforcement activities, and gaps especially for non-safety related standards. </w:t>
      </w:r>
    </w:p>
    <w:p w:rsidR="009605F7" w:rsidP="009605F7" w:rsidRDefault="009605F7" w14:paraId="32110579" w14:textId="356DD5B2">
      <w:pPr>
        <w:rPr>
          <w:rStyle w:val="l11"/>
          <w:rFonts w:ascii="Arial" w:hAnsi="Arial" w:cs="Arial"/>
          <w:sz w:val="20"/>
          <w:bdr w:val="none" w:color="auto" w:sz="0" w:space="0" w:frame="1"/>
          <w:shd w:val="clear" w:color="auto" w:fill="FFFFFF"/>
        </w:rPr>
      </w:pPr>
      <w:r>
        <w:rPr>
          <w:rStyle w:val="l11"/>
          <w:rFonts w:ascii="Arial" w:hAnsi="Arial" w:cs="Arial"/>
          <w:sz w:val="20"/>
          <w:bdr w:val="none" w:color="auto" w:sz="0" w:space="0" w:frame="1"/>
          <w:shd w:val="clear" w:color="auto" w:fill="FFFFFF"/>
        </w:rPr>
        <w:t xml:space="preserve">Tesla would add the following key issues </w:t>
      </w:r>
      <w:r w:rsidR="00AA3FE0">
        <w:rPr>
          <w:rStyle w:val="l11"/>
          <w:rFonts w:ascii="Arial" w:hAnsi="Arial" w:cs="Arial"/>
          <w:sz w:val="20"/>
          <w:bdr w:val="none" w:color="auto" w:sz="0" w:space="0" w:frame="1"/>
          <w:shd w:val="clear" w:color="auto" w:fill="FFFFFF"/>
        </w:rPr>
        <w:t>to this list:</w:t>
      </w:r>
    </w:p>
    <w:p w:rsidR="00AA3FE0" w:rsidP="00232A39" w:rsidRDefault="00AA3FE0" w14:paraId="51ABE0D5" w14:textId="22533BFD">
      <w:pPr>
        <w:pStyle w:val="ListParagraph"/>
        <w:numPr>
          <w:ilvl w:val="0"/>
          <w:numId w:val="6"/>
        </w:numPr>
        <w:rPr>
          <w:rStyle w:val="l11"/>
          <w:rFonts w:ascii="Arial" w:hAnsi="Arial" w:cs="Arial"/>
          <w:sz w:val="20"/>
          <w:bdr w:val="none" w:color="auto" w:sz="0" w:space="0" w:frame="1"/>
          <w:shd w:val="clear" w:color="auto" w:fill="FFFFFF"/>
        </w:rPr>
      </w:pPr>
      <w:r>
        <w:rPr>
          <w:rStyle w:val="l11"/>
          <w:rFonts w:ascii="Arial" w:hAnsi="Arial" w:cs="Arial"/>
          <w:sz w:val="20"/>
          <w:bdr w:val="none" w:color="auto" w:sz="0" w:space="0" w:frame="1"/>
          <w:shd w:val="clear" w:color="auto" w:fill="FFFFFF"/>
        </w:rPr>
        <w:t>Lack of engagement with the “new energy” sector. The majority of work and engagement is managed by incumbents. Companies offering new energy technology solutions are often left out of the fold because they’re more thinly resourced and don’t necessarily have the resources (financial or human) to spend large amounts of time engaging in multiple committees across multiple agencies, and responding to countless consultation processes.</w:t>
      </w:r>
    </w:p>
    <w:p w:rsidR="00AA3FE0" w:rsidP="00232A39" w:rsidRDefault="00AA3FE0" w14:paraId="6E312EDA" w14:textId="7376C3EC">
      <w:pPr>
        <w:pStyle w:val="ListParagraph"/>
        <w:numPr>
          <w:ilvl w:val="0"/>
          <w:numId w:val="6"/>
        </w:numPr>
        <w:rPr>
          <w:rStyle w:val="l11"/>
          <w:rFonts w:ascii="Arial" w:hAnsi="Arial" w:cs="Arial"/>
          <w:sz w:val="20"/>
          <w:bdr w:val="none" w:color="auto" w:sz="0" w:space="0" w:frame="1"/>
          <w:shd w:val="clear" w:color="auto" w:fill="FFFFFF"/>
        </w:rPr>
      </w:pPr>
      <w:r>
        <w:rPr>
          <w:rStyle w:val="l11"/>
          <w:rFonts w:ascii="Arial" w:hAnsi="Arial" w:cs="Arial"/>
          <w:sz w:val="20"/>
          <w:bdr w:val="none" w:color="auto" w:sz="0" w:space="0" w:frame="1"/>
          <w:shd w:val="clear" w:color="auto" w:fill="FFFFFF"/>
        </w:rPr>
        <w:t>Lack of transparency. A number of processes undertaken above are non-transparent</w:t>
      </w:r>
      <w:r w:rsidR="007107C3">
        <w:rPr>
          <w:rStyle w:val="l11"/>
          <w:rFonts w:ascii="Arial" w:hAnsi="Arial" w:cs="Arial"/>
          <w:sz w:val="20"/>
          <w:bdr w:val="none" w:color="auto" w:sz="0" w:space="0" w:frame="1"/>
          <w:shd w:val="clear" w:color="auto" w:fill="FFFFFF"/>
        </w:rPr>
        <w:t xml:space="preserve"> in their approach. For instance, Standards Australia committees are commercial-in-confidence so no discussions on the comments received or findings are made visible to industry. As a determining body, this lack of transparency is a critical issue. Similarly NSPs are under no regulatory obligation to provide updated connection standards to industry for comment. As a result there is a wide variance between NSPs as to the level of consultation that is taken, if any.</w:t>
      </w:r>
    </w:p>
    <w:p w:rsidR="007107C3" w:rsidP="00232A39" w:rsidRDefault="007107C3" w14:paraId="2E472A86" w14:textId="7D074ACD">
      <w:pPr>
        <w:pStyle w:val="ListParagraph"/>
        <w:numPr>
          <w:ilvl w:val="0"/>
          <w:numId w:val="6"/>
        </w:numPr>
        <w:rPr>
          <w:rStyle w:val="l11"/>
          <w:rFonts w:ascii="Arial" w:hAnsi="Arial" w:cs="Arial"/>
          <w:sz w:val="20"/>
          <w:bdr w:val="none" w:color="auto" w:sz="0" w:space="0" w:frame="1"/>
          <w:shd w:val="clear" w:color="auto" w:fill="FFFFFF"/>
        </w:rPr>
      </w:pPr>
      <w:r>
        <w:rPr>
          <w:rStyle w:val="l11"/>
          <w:rFonts w:ascii="Arial" w:hAnsi="Arial" w:cs="Arial"/>
          <w:sz w:val="20"/>
          <w:bdr w:val="none" w:color="auto" w:sz="0" w:space="0" w:frame="1"/>
          <w:shd w:val="clear" w:color="auto" w:fill="FFFFFF"/>
        </w:rPr>
        <w:t xml:space="preserve">Lack of coordination with market reforms </w:t>
      </w:r>
      <w:r w:rsidR="00100F9B">
        <w:rPr>
          <w:rStyle w:val="l11"/>
          <w:rFonts w:ascii="Arial" w:hAnsi="Arial" w:cs="Arial"/>
          <w:sz w:val="20"/>
          <w:bdr w:val="none" w:color="auto" w:sz="0" w:space="0" w:frame="1"/>
          <w:shd w:val="clear" w:color="auto" w:fill="FFFFFF"/>
        </w:rPr>
        <w:t>–</w:t>
      </w:r>
      <w:r>
        <w:rPr>
          <w:rStyle w:val="l11"/>
          <w:rFonts w:ascii="Arial" w:hAnsi="Arial" w:cs="Arial"/>
          <w:sz w:val="20"/>
          <w:bdr w:val="none" w:color="auto" w:sz="0" w:space="0" w:frame="1"/>
          <w:shd w:val="clear" w:color="auto" w:fill="FFFFFF"/>
        </w:rPr>
        <w:t xml:space="preserve"> </w:t>
      </w:r>
      <w:r w:rsidR="00100F9B">
        <w:rPr>
          <w:rStyle w:val="l11"/>
          <w:rFonts w:ascii="Arial" w:hAnsi="Arial" w:cs="Arial"/>
          <w:sz w:val="20"/>
          <w:bdr w:val="none" w:color="auto" w:sz="0" w:space="0" w:frame="1"/>
          <w:shd w:val="clear" w:color="auto" w:fill="FFFFFF"/>
        </w:rPr>
        <w:t xml:space="preserve">a lot of the technical standards discussions appear to be happening in parallel to DER market development and integration. It is difficult to see how these two processes are complementary – i.e. if new voltage response requirements are progressed will this negate the need for future dynamic voltage response markets? How do the </w:t>
      </w:r>
      <w:r w:rsidR="00100F9B">
        <w:rPr>
          <w:rStyle w:val="l11"/>
          <w:rFonts w:ascii="Arial" w:hAnsi="Arial" w:cs="Arial"/>
          <w:sz w:val="20"/>
          <w:bdr w:val="none" w:color="auto" w:sz="0" w:space="0" w:frame="1"/>
          <w:shd w:val="clear" w:color="auto" w:fill="FFFFFF"/>
        </w:rPr>
        <w:lastRenderedPageBreak/>
        <w:t>freq-watt requirements introduced via technical standards interact with VPPs providing frequency control ancillary services support (FCAS) etc.</w:t>
      </w:r>
    </w:p>
    <w:p w:rsidR="003F4062" w:rsidP="003D7729" w:rsidRDefault="003F4062" w14:paraId="46FF8E28" w14:textId="77777777">
      <w:pPr>
        <w:rPr>
          <w:rStyle w:val="l11"/>
          <w:rFonts w:ascii="Arial" w:hAnsi="Arial" w:cs="Arial"/>
          <w:b/>
          <w:color w:val="000000"/>
          <w:sz w:val="20"/>
          <w:bdr w:val="none" w:color="auto" w:sz="0" w:space="0" w:frame="1"/>
          <w:shd w:val="clear" w:color="auto" w:fill="FFFFFF"/>
        </w:rPr>
      </w:pPr>
    </w:p>
    <w:p w:rsidRPr="003F4062" w:rsidR="003F4062" w:rsidP="003D7729" w:rsidRDefault="003F4062" w14:paraId="5B87248E" w14:textId="1C2B5F9B">
      <w:pPr>
        <w:rPr>
          <w:rStyle w:val="l11"/>
          <w:rFonts w:ascii="Arial" w:hAnsi="Arial" w:cs="Arial"/>
          <w:b/>
          <w:color w:val="000000"/>
          <w:sz w:val="20"/>
          <w:bdr w:val="none" w:color="auto" w:sz="0" w:space="0" w:frame="1"/>
          <w:shd w:val="clear" w:color="auto" w:fill="FFFFFF"/>
        </w:rPr>
      </w:pPr>
      <w:r w:rsidRPr="003F4062">
        <w:rPr>
          <w:rStyle w:val="l11"/>
          <w:rFonts w:ascii="Arial" w:hAnsi="Arial" w:cs="Arial"/>
          <w:b/>
          <w:color w:val="000000"/>
          <w:sz w:val="20"/>
          <w:bdr w:val="none" w:color="auto" w:sz="0" w:space="0" w:frame="1"/>
          <w:shd w:val="clear" w:color="auto" w:fill="FFFFFF"/>
        </w:rPr>
        <w:t>Reform of current processes</w:t>
      </w:r>
    </w:p>
    <w:p w:rsidR="0002541A" w:rsidP="003D7729" w:rsidRDefault="007107C3" w14:paraId="45E54A0C" w14:textId="0D9D02F5">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As noted above, Tesla supports the approach of establishing a DER Governance Committee, however this Committee will ultimately still be reliant on the work done by all agencies involved in the DER regulatory space. The approach proposed by the ESB will manage concerns in respect of </w:t>
      </w:r>
      <w:r w:rsidR="00100F9B">
        <w:rPr>
          <w:rStyle w:val="l11"/>
          <w:rFonts w:ascii="Arial" w:hAnsi="Arial" w:cs="Arial"/>
          <w:color w:val="000000"/>
          <w:sz w:val="20"/>
          <w:bdr w:val="none" w:color="auto" w:sz="0" w:space="0" w:frame="1"/>
          <w:shd w:val="clear" w:color="auto" w:fill="FFFFFF"/>
        </w:rPr>
        <w:t xml:space="preserve">how future standards are set and lead to an </w:t>
      </w:r>
      <w:r w:rsidR="00077C2A">
        <w:rPr>
          <w:rStyle w:val="l11"/>
          <w:rFonts w:ascii="Arial" w:hAnsi="Arial" w:cs="Arial"/>
          <w:color w:val="000000"/>
          <w:sz w:val="20"/>
          <w:bdr w:val="none" w:color="auto" w:sz="0" w:space="0" w:frame="1"/>
          <w:shd w:val="clear" w:color="auto" w:fill="FFFFFF"/>
        </w:rPr>
        <w:t>effective future model.</w:t>
      </w:r>
    </w:p>
    <w:p w:rsidR="00077C2A" w:rsidP="003D7729" w:rsidRDefault="00077C2A" w14:paraId="6662A278" w14:textId="5DA8C465">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However it will also be critical for the existing flaws identified above to be resolved. Without addressing the underlying issues then the DER Standards Governance Committee is likely to continue to encounter these same concerns. </w:t>
      </w:r>
    </w:p>
    <w:p w:rsidR="00077C2A" w:rsidP="003D7729" w:rsidRDefault="003F4062" w14:paraId="2E834D4E" w14:textId="257A5ACE">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A first order priority for DER g</w:t>
      </w:r>
      <w:r w:rsidR="00077C2A">
        <w:rPr>
          <w:rStyle w:val="l11"/>
          <w:rFonts w:ascii="Arial" w:hAnsi="Arial" w:cs="Arial"/>
          <w:color w:val="000000"/>
          <w:sz w:val="20"/>
          <w:bdr w:val="none" w:color="auto" w:sz="0" w:space="0" w:frame="1"/>
          <w:shd w:val="clear" w:color="auto" w:fill="FFFFFF"/>
        </w:rPr>
        <w:t>overnance should be addressing these existing concerns</w:t>
      </w:r>
      <w:r>
        <w:rPr>
          <w:rStyle w:val="l11"/>
          <w:rFonts w:ascii="Arial" w:hAnsi="Arial" w:cs="Arial"/>
          <w:color w:val="000000"/>
          <w:sz w:val="20"/>
          <w:bdr w:val="none" w:color="auto" w:sz="0" w:space="0" w:frame="1"/>
          <w:shd w:val="clear" w:color="auto" w:fill="FFFFFF"/>
        </w:rPr>
        <w:t>. This might become the first order of business to be completed by the DER Standards Governance Committee or to occur before the DER Standards Governance Committee is formed.</w:t>
      </w:r>
    </w:p>
    <w:p w:rsidR="003F4062" w:rsidP="003D7729" w:rsidRDefault="003F4062" w14:paraId="25008CC9" w14:textId="77777777">
      <w:pPr>
        <w:rPr>
          <w:rStyle w:val="l11"/>
          <w:rFonts w:ascii="Arial" w:hAnsi="Arial" w:cs="Arial"/>
          <w:b/>
          <w:color w:val="000000"/>
          <w:sz w:val="20"/>
          <w:bdr w:val="none" w:color="auto" w:sz="0" w:space="0" w:frame="1"/>
          <w:shd w:val="clear" w:color="auto" w:fill="FFFFFF"/>
        </w:rPr>
      </w:pPr>
    </w:p>
    <w:p w:rsidRPr="003F4062" w:rsidR="003D7729" w:rsidP="003D7729" w:rsidRDefault="003F4062" w14:paraId="68F474F9" w14:textId="38620FAF">
      <w:pPr>
        <w:rPr>
          <w:rStyle w:val="l11"/>
          <w:rFonts w:ascii="Arial" w:hAnsi="Arial" w:cs="Arial"/>
          <w:b/>
          <w:color w:val="000000"/>
          <w:sz w:val="20"/>
          <w:bdr w:val="none" w:color="auto" w:sz="0" w:space="0" w:frame="1"/>
          <w:shd w:val="clear" w:color="auto" w:fill="FFFFFF"/>
        </w:rPr>
      </w:pPr>
      <w:r>
        <w:rPr>
          <w:rStyle w:val="l11"/>
          <w:rFonts w:ascii="Arial" w:hAnsi="Arial" w:cs="Arial"/>
          <w:b/>
          <w:color w:val="000000"/>
          <w:sz w:val="20"/>
          <w:bdr w:val="none" w:color="auto" w:sz="0" w:space="0" w:frame="1"/>
          <w:shd w:val="clear" w:color="auto" w:fill="FFFFFF"/>
        </w:rPr>
        <w:t xml:space="preserve">Establishing clear roles and responsibilities </w:t>
      </w:r>
    </w:p>
    <w:p w:rsidR="00AB7815" w:rsidP="00663D71" w:rsidRDefault="003F4062" w14:paraId="1693C86A" w14:textId="28888515">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Related to the first point above, it will also be critical that all regulatory bodies involved in the DER Standards Setting Process in an ongoing manner have clear roles and responsibilities and there is a clear process in place. This should consider:</w:t>
      </w:r>
    </w:p>
    <w:p w:rsidR="003F4062" w:rsidP="00232A39" w:rsidRDefault="003F4062" w14:paraId="761C1D0B" w14:textId="48C3209A">
      <w:pPr>
        <w:pStyle w:val="ListParagraph"/>
        <w:numPr>
          <w:ilvl w:val="0"/>
          <w:numId w:val="8"/>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Who can suggest new Standards</w:t>
      </w:r>
    </w:p>
    <w:p w:rsidR="003F4062" w:rsidP="00232A39" w:rsidRDefault="003F4062" w14:paraId="1A59C372" w14:textId="1460CBC3">
      <w:pPr>
        <w:pStyle w:val="ListParagraph"/>
        <w:numPr>
          <w:ilvl w:val="0"/>
          <w:numId w:val="8"/>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Conflicting laws/ legislative and regulatory requirements,</w:t>
      </w:r>
    </w:p>
    <w:p w:rsidR="003F4062" w:rsidP="00232A39" w:rsidRDefault="003F4062" w14:paraId="6075B6B4" w14:textId="2F910706">
      <w:pPr>
        <w:pStyle w:val="ListParagraph"/>
        <w:numPr>
          <w:ilvl w:val="0"/>
          <w:numId w:val="8"/>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Who has review authority </w:t>
      </w:r>
    </w:p>
    <w:p w:rsidR="003F4062" w:rsidP="00232A39" w:rsidRDefault="003F4062" w14:paraId="69C748D8" w14:textId="42ECEB57">
      <w:pPr>
        <w:pStyle w:val="ListParagraph"/>
        <w:numPr>
          <w:ilvl w:val="0"/>
          <w:numId w:val="8"/>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Who is responsible for managing industry or consumer complaints, questions or disputes</w:t>
      </w:r>
    </w:p>
    <w:p w:rsidRPr="003F4062" w:rsidR="003F4062" w:rsidP="00232A39" w:rsidRDefault="003F4062" w14:paraId="160D3C27" w14:textId="318E9D3F">
      <w:pPr>
        <w:pStyle w:val="ListParagraph"/>
        <w:numPr>
          <w:ilvl w:val="0"/>
          <w:numId w:val="8"/>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Compliance requirements of each body</w:t>
      </w:r>
    </w:p>
    <w:p w:rsidR="001B673C" w:rsidP="00663D71" w:rsidRDefault="003F4062" w14:paraId="7C805801" w14:textId="6D74253C">
      <w:pPr>
        <w:rPr>
          <w:rStyle w:val="l11"/>
          <w:rFonts w:ascii="Arial" w:hAnsi="Arial" w:cs="Arial"/>
          <w:b/>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Having these clear roles and responsibilities determined up front will allow agencies to set appropriate budge</w:t>
      </w:r>
      <w:r w:rsidR="004462B1">
        <w:rPr>
          <w:rStyle w:val="l11"/>
          <w:rFonts w:ascii="Arial" w:hAnsi="Arial" w:cs="Arial"/>
          <w:color w:val="000000"/>
          <w:sz w:val="20"/>
          <w:bdr w:val="none" w:color="auto" w:sz="0" w:space="0" w:frame="1"/>
          <w:shd w:val="clear" w:color="auto" w:fill="FFFFFF"/>
        </w:rPr>
        <w:t>ts, allocate suitable resources, and it sets expectations for industry as to who will be doing what</w:t>
      </w:r>
      <w:r w:rsidR="00193F74">
        <w:rPr>
          <w:rStyle w:val="l11"/>
          <w:rFonts w:ascii="Arial" w:hAnsi="Arial" w:cs="Arial"/>
          <w:color w:val="000000"/>
          <w:sz w:val="20"/>
          <w:bdr w:val="none" w:color="auto" w:sz="0" w:space="0" w:frame="1"/>
          <w:shd w:val="clear" w:color="auto" w:fill="FFFFFF"/>
        </w:rPr>
        <w:t xml:space="preserve"> and allows for appropriate preparation.</w:t>
      </w:r>
    </w:p>
    <w:p w:rsidR="00A42F12" w:rsidP="00663D71" w:rsidRDefault="00A42F12" w14:paraId="2023D7B9" w14:textId="06571A74">
      <w:pPr>
        <w:rPr>
          <w:rStyle w:val="l11"/>
          <w:rFonts w:ascii="Arial" w:hAnsi="Arial" w:cs="Arial"/>
          <w:color w:val="000000"/>
          <w:sz w:val="20"/>
          <w:bdr w:val="none" w:color="auto" w:sz="0" w:space="0" w:frame="1"/>
          <w:shd w:val="clear" w:color="auto" w:fill="FFFFFF"/>
        </w:rPr>
      </w:pPr>
    </w:p>
    <w:p w:rsidR="00A42F12" w:rsidP="00663D71" w:rsidRDefault="00A42F12" w14:paraId="569E8B49" w14:textId="2684AB98">
      <w:pPr>
        <w:rPr>
          <w:rStyle w:val="l11"/>
          <w:rFonts w:ascii="Arial" w:hAnsi="Arial" w:cs="Arial"/>
          <w:b/>
          <w:color w:val="000000"/>
          <w:sz w:val="20"/>
          <w:bdr w:val="none" w:color="auto" w:sz="0" w:space="0" w:frame="1"/>
          <w:shd w:val="clear" w:color="auto" w:fill="FFFFFF"/>
        </w:rPr>
      </w:pPr>
      <w:r w:rsidRPr="00A42F12">
        <w:rPr>
          <w:rStyle w:val="l11"/>
          <w:rFonts w:ascii="Arial" w:hAnsi="Arial" w:cs="Arial"/>
          <w:b/>
          <w:color w:val="000000"/>
          <w:sz w:val="20"/>
          <w:bdr w:val="none" w:color="auto" w:sz="0" w:space="0" w:frame="1"/>
          <w:shd w:val="clear" w:color="auto" w:fill="FFFFFF"/>
        </w:rPr>
        <w:t>Proposed DER Standards Governance Committee</w:t>
      </w:r>
    </w:p>
    <w:p w:rsidR="00A42F12" w:rsidP="00663D71" w:rsidRDefault="00193F74" w14:paraId="57219CCD" w14:textId="46C23F92">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Tesla s</w:t>
      </w:r>
      <w:r w:rsidR="00A42F12">
        <w:rPr>
          <w:rStyle w:val="l11"/>
          <w:rFonts w:ascii="Arial" w:hAnsi="Arial" w:cs="Arial"/>
          <w:color w:val="000000"/>
          <w:sz w:val="20"/>
          <w:bdr w:val="none" w:color="auto" w:sz="0" w:space="0" w:frame="1"/>
          <w:shd w:val="clear" w:color="auto" w:fill="FFFFFF"/>
        </w:rPr>
        <w:t>upport</w:t>
      </w:r>
      <w:r>
        <w:rPr>
          <w:rStyle w:val="l11"/>
          <w:rFonts w:ascii="Arial" w:hAnsi="Arial" w:cs="Arial"/>
          <w:color w:val="000000"/>
          <w:sz w:val="20"/>
          <w:bdr w:val="none" w:color="auto" w:sz="0" w:space="0" w:frame="1"/>
          <w:shd w:val="clear" w:color="auto" w:fill="FFFFFF"/>
        </w:rPr>
        <w:t>s</w:t>
      </w:r>
      <w:r w:rsidR="00A42F12">
        <w:rPr>
          <w:rStyle w:val="l11"/>
          <w:rFonts w:ascii="Arial" w:hAnsi="Arial" w:cs="Arial"/>
          <w:color w:val="000000"/>
          <w:sz w:val="20"/>
          <w:bdr w:val="none" w:color="auto" w:sz="0" w:space="0" w:frame="1"/>
          <w:shd w:val="clear" w:color="auto" w:fill="FFFFFF"/>
        </w:rPr>
        <w:t xml:space="preserve"> the establishment of this </w:t>
      </w:r>
      <w:r>
        <w:rPr>
          <w:rStyle w:val="l11"/>
          <w:rFonts w:ascii="Arial" w:hAnsi="Arial" w:cs="Arial"/>
          <w:color w:val="000000"/>
          <w:sz w:val="20"/>
          <w:bdr w:val="none" w:color="auto" w:sz="0" w:space="0" w:frame="1"/>
          <w:shd w:val="clear" w:color="auto" w:fill="FFFFFF"/>
        </w:rPr>
        <w:t>C</w:t>
      </w:r>
      <w:r w:rsidR="00A42F12">
        <w:rPr>
          <w:rStyle w:val="l11"/>
          <w:rFonts w:ascii="Arial" w:hAnsi="Arial" w:cs="Arial"/>
          <w:color w:val="000000"/>
          <w:sz w:val="20"/>
          <w:bdr w:val="none" w:color="auto" w:sz="0" w:space="0" w:frame="1"/>
          <w:shd w:val="clear" w:color="auto" w:fill="FFFFFF"/>
        </w:rPr>
        <w:t xml:space="preserve">ommittee. The consultation paper notes that the </w:t>
      </w:r>
      <w:r>
        <w:rPr>
          <w:rStyle w:val="l11"/>
          <w:rFonts w:ascii="Arial" w:hAnsi="Arial" w:cs="Arial"/>
          <w:color w:val="000000"/>
          <w:sz w:val="20"/>
          <w:bdr w:val="none" w:color="auto" w:sz="0" w:space="0" w:frame="1"/>
          <w:shd w:val="clear" w:color="auto" w:fill="FFFFFF"/>
        </w:rPr>
        <w:t>C</w:t>
      </w:r>
      <w:r w:rsidR="00A42F12">
        <w:rPr>
          <w:rStyle w:val="l11"/>
          <w:rFonts w:ascii="Arial" w:hAnsi="Arial" w:cs="Arial"/>
          <w:color w:val="000000"/>
          <w:sz w:val="20"/>
          <w:bdr w:val="none" w:color="auto" w:sz="0" w:space="0" w:frame="1"/>
          <w:shd w:val="clear" w:color="auto" w:fill="FFFFFF"/>
        </w:rPr>
        <w:t>ommittee would be responsible for:</w:t>
      </w:r>
    </w:p>
    <w:p w:rsidRPr="00A42F12" w:rsidR="00A42F12" w:rsidP="00A42F12" w:rsidRDefault="00A42F12" w14:paraId="3ACBAD76" w14:textId="77777777">
      <w:pPr>
        <w:autoSpaceDE w:val="0"/>
        <w:autoSpaceDN w:val="0"/>
        <w:adjustRightInd w:val="0"/>
        <w:spacing w:after="0" w:line="240" w:lineRule="auto"/>
        <w:rPr>
          <w:rFonts w:ascii="Arial" w:hAnsi="Arial" w:cs="Arial"/>
          <w:color w:val="000000"/>
          <w:sz w:val="20"/>
          <w:szCs w:val="20"/>
          <w:lang w:val="en-US"/>
        </w:rPr>
      </w:pPr>
    </w:p>
    <w:p w:rsidRPr="00A42F12" w:rsidR="00A42F12" w:rsidP="00232A39" w:rsidRDefault="00A42F12" w14:paraId="32CA4D07" w14:textId="6E50099A">
      <w:pPr>
        <w:pStyle w:val="ListParagraph"/>
        <w:numPr>
          <w:ilvl w:val="0"/>
          <w:numId w:val="3"/>
        </w:numPr>
        <w:autoSpaceDE w:val="0"/>
        <w:autoSpaceDN w:val="0"/>
        <w:adjustRightInd w:val="0"/>
        <w:spacing w:after="0" w:line="240" w:lineRule="auto"/>
        <w:rPr>
          <w:rFonts w:ascii="Arial" w:hAnsi="Arial" w:cs="Arial"/>
          <w:color w:val="000000"/>
          <w:sz w:val="20"/>
          <w:szCs w:val="20"/>
          <w:lang w:val="en-US"/>
        </w:rPr>
      </w:pPr>
      <w:r w:rsidRPr="00A42F12">
        <w:rPr>
          <w:rFonts w:ascii="Arial" w:hAnsi="Arial" w:cs="Arial"/>
          <w:color w:val="000000"/>
          <w:sz w:val="20"/>
          <w:szCs w:val="20"/>
          <w:lang w:val="en-US"/>
        </w:rPr>
        <w:t xml:space="preserve">setting a vision for DER technical standards; </w:t>
      </w:r>
    </w:p>
    <w:p w:rsidRPr="00A42F12" w:rsidR="00A42F12" w:rsidP="00232A39" w:rsidRDefault="00A42F12" w14:paraId="15F9D21F" w14:textId="645C316D">
      <w:pPr>
        <w:pStyle w:val="ListParagraph"/>
        <w:numPr>
          <w:ilvl w:val="0"/>
          <w:numId w:val="3"/>
        </w:numPr>
        <w:autoSpaceDE w:val="0"/>
        <w:autoSpaceDN w:val="0"/>
        <w:adjustRightInd w:val="0"/>
        <w:spacing w:after="0" w:line="240" w:lineRule="auto"/>
        <w:rPr>
          <w:rFonts w:ascii="Arial" w:hAnsi="Arial" w:cs="Arial"/>
          <w:color w:val="000000"/>
          <w:sz w:val="20"/>
          <w:szCs w:val="20"/>
          <w:lang w:val="en-US"/>
        </w:rPr>
      </w:pPr>
      <w:r w:rsidRPr="00A42F12">
        <w:rPr>
          <w:rFonts w:ascii="Arial" w:hAnsi="Arial" w:cs="Arial"/>
          <w:color w:val="000000"/>
          <w:sz w:val="20"/>
          <w:szCs w:val="20"/>
          <w:lang w:val="en-US"/>
        </w:rPr>
        <w:t xml:space="preserve">developing a technical standards work program; </w:t>
      </w:r>
    </w:p>
    <w:p w:rsidRPr="00A42F12" w:rsidR="00A42F12" w:rsidP="00232A39" w:rsidRDefault="00A42F12" w14:paraId="2BFEBB2A" w14:textId="0720901F">
      <w:pPr>
        <w:pStyle w:val="ListParagraph"/>
        <w:numPr>
          <w:ilvl w:val="0"/>
          <w:numId w:val="3"/>
        </w:numPr>
        <w:autoSpaceDE w:val="0"/>
        <w:autoSpaceDN w:val="0"/>
        <w:adjustRightInd w:val="0"/>
        <w:spacing w:after="0" w:line="240" w:lineRule="auto"/>
        <w:rPr>
          <w:rFonts w:ascii="Arial" w:hAnsi="Arial" w:cs="Arial"/>
          <w:color w:val="000000"/>
          <w:sz w:val="20"/>
          <w:szCs w:val="20"/>
          <w:lang w:val="en-US"/>
        </w:rPr>
      </w:pPr>
      <w:r w:rsidRPr="00A42F12">
        <w:rPr>
          <w:rFonts w:ascii="Arial" w:hAnsi="Arial" w:cs="Arial"/>
          <w:color w:val="000000"/>
          <w:sz w:val="20"/>
          <w:szCs w:val="20"/>
          <w:lang w:val="en-US"/>
        </w:rPr>
        <w:t xml:space="preserve">monitoring, reviewing and setting DER technical standards; </w:t>
      </w:r>
    </w:p>
    <w:p w:rsidRPr="00A42F12" w:rsidR="00A42F12" w:rsidP="00232A39" w:rsidRDefault="00A42F12" w14:paraId="665F142B" w14:textId="025483C2">
      <w:pPr>
        <w:pStyle w:val="ListParagraph"/>
        <w:numPr>
          <w:ilvl w:val="0"/>
          <w:numId w:val="3"/>
        </w:numPr>
        <w:autoSpaceDE w:val="0"/>
        <w:autoSpaceDN w:val="0"/>
        <w:adjustRightInd w:val="0"/>
        <w:spacing w:after="0" w:line="240" w:lineRule="auto"/>
        <w:rPr>
          <w:rFonts w:ascii="Arial" w:hAnsi="Arial" w:cs="Arial"/>
          <w:color w:val="000000"/>
          <w:sz w:val="20"/>
          <w:szCs w:val="20"/>
          <w:lang w:val="en-US"/>
        </w:rPr>
      </w:pPr>
      <w:r w:rsidRPr="00A42F12">
        <w:rPr>
          <w:rFonts w:ascii="Arial" w:hAnsi="Arial" w:cs="Arial"/>
          <w:color w:val="000000"/>
          <w:sz w:val="20"/>
          <w:szCs w:val="20"/>
          <w:lang w:val="en-US"/>
        </w:rPr>
        <w:t xml:space="preserve">considering issues related to compliance and enforcement of standards in their development; and </w:t>
      </w:r>
    </w:p>
    <w:p w:rsidR="00A42F12" w:rsidP="00232A39" w:rsidRDefault="00A42F12" w14:paraId="6895B49F" w14:textId="277D51C0">
      <w:pPr>
        <w:pStyle w:val="ListParagraph"/>
        <w:numPr>
          <w:ilvl w:val="0"/>
          <w:numId w:val="3"/>
        </w:numPr>
        <w:autoSpaceDE w:val="0"/>
        <w:autoSpaceDN w:val="0"/>
        <w:adjustRightInd w:val="0"/>
        <w:spacing w:after="0" w:line="240" w:lineRule="auto"/>
        <w:rPr>
          <w:rFonts w:ascii="Arial" w:hAnsi="Arial" w:cs="Arial"/>
          <w:color w:val="000000"/>
          <w:sz w:val="20"/>
          <w:szCs w:val="20"/>
          <w:lang w:val="en-US"/>
        </w:rPr>
      </w:pPr>
      <w:r w:rsidRPr="00A42F12">
        <w:rPr>
          <w:rFonts w:ascii="Arial" w:hAnsi="Arial" w:cs="Arial"/>
          <w:color w:val="000000"/>
          <w:sz w:val="20"/>
          <w:szCs w:val="20"/>
          <w:lang w:val="en-US"/>
        </w:rPr>
        <w:t xml:space="preserve">providing advice on standards and undertaking related reviews. </w:t>
      </w:r>
    </w:p>
    <w:p w:rsidR="00A42F12" w:rsidP="00A42F12" w:rsidRDefault="00A42F12" w14:paraId="0DB5E76E" w14:textId="2E25D368">
      <w:pPr>
        <w:autoSpaceDE w:val="0"/>
        <w:autoSpaceDN w:val="0"/>
        <w:adjustRightInd w:val="0"/>
        <w:spacing w:after="0" w:line="240" w:lineRule="auto"/>
        <w:rPr>
          <w:rFonts w:ascii="Arial" w:hAnsi="Arial" w:cs="Arial"/>
          <w:color w:val="000000"/>
          <w:sz w:val="20"/>
          <w:szCs w:val="20"/>
          <w:lang w:val="en-US"/>
        </w:rPr>
      </w:pPr>
    </w:p>
    <w:p w:rsidR="00A42F12" w:rsidP="00A42F12" w:rsidRDefault="00A42F12" w14:paraId="7C2C0CCD" w14:textId="2BEBD044">
      <w:p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Our views and governance priorities under each of these areas is outlined below.</w:t>
      </w:r>
    </w:p>
    <w:p w:rsidR="00A42F12" w:rsidP="00A42F12" w:rsidRDefault="00A42F12" w14:paraId="10A185DD" w14:textId="055C4CF8">
      <w:pPr>
        <w:autoSpaceDE w:val="0"/>
        <w:autoSpaceDN w:val="0"/>
        <w:adjustRightInd w:val="0"/>
        <w:spacing w:after="0" w:line="240" w:lineRule="auto"/>
        <w:rPr>
          <w:rFonts w:ascii="Arial" w:hAnsi="Arial" w:cs="Arial"/>
          <w:color w:val="000000"/>
          <w:sz w:val="20"/>
          <w:szCs w:val="20"/>
          <w:lang w:val="en-US"/>
        </w:rPr>
      </w:pPr>
    </w:p>
    <w:p w:rsidR="00A42F12" w:rsidP="00232A39" w:rsidRDefault="00A42F12" w14:paraId="7BFF97BD" w14:textId="0F222357">
      <w:pPr>
        <w:pStyle w:val="ListParagraph"/>
        <w:numPr>
          <w:ilvl w:val="0"/>
          <w:numId w:val="4"/>
        </w:numPr>
        <w:autoSpaceDE w:val="0"/>
        <w:autoSpaceDN w:val="0"/>
        <w:adjustRightInd w:val="0"/>
        <w:spacing w:after="0" w:line="240" w:lineRule="auto"/>
        <w:rPr>
          <w:rFonts w:ascii="Arial" w:hAnsi="Arial" w:cs="Arial"/>
          <w:i/>
          <w:color w:val="000000"/>
          <w:sz w:val="20"/>
          <w:szCs w:val="20"/>
          <w:lang w:val="en-US"/>
        </w:rPr>
      </w:pPr>
      <w:r>
        <w:rPr>
          <w:rFonts w:ascii="Arial" w:hAnsi="Arial" w:cs="Arial"/>
          <w:i/>
          <w:color w:val="000000"/>
          <w:sz w:val="20"/>
          <w:szCs w:val="20"/>
          <w:lang w:val="en-US"/>
        </w:rPr>
        <w:t>S</w:t>
      </w:r>
      <w:r w:rsidRPr="00A42F12">
        <w:rPr>
          <w:rFonts w:ascii="Arial" w:hAnsi="Arial" w:cs="Arial"/>
          <w:i/>
          <w:color w:val="000000"/>
          <w:sz w:val="20"/>
          <w:szCs w:val="20"/>
          <w:lang w:val="en-US"/>
        </w:rPr>
        <w:t>etting a vision for DER technical standards</w:t>
      </w:r>
    </w:p>
    <w:p w:rsidRPr="00A42F12" w:rsidR="00A42F12" w:rsidP="00A42F12" w:rsidRDefault="00A42F12" w14:paraId="2BB28877" w14:textId="77777777">
      <w:pPr>
        <w:autoSpaceDE w:val="0"/>
        <w:autoSpaceDN w:val="0"/>
        <w:adjustRightInd w:val="0"/>
        <w:spacing w:after="0" w:line="240" w:lineRule="auto"/>
        <w:rPr>
          <w:rFonts w:ascii="Arial" w:hAnsi="Arial" w:cs="Arial"/>
          <w:color w:val="000000"/>
          <w:sz w:val="20"/>
          <w:szCs w:val="20"/>
          <w:lang w:val="en-US"/>
        </w:rPr>
      </w:pPr>
    </w:p>
    <w:p w:rsidR="00A42F12" w:rsidP="00A42F12" w:rsidRDefault="00A42F12" w14:paraId="1F84D81E" w14:textId="2886C1D5">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Tesla supports this position</w:t>
      </w:r>
      <w:r w:rsidR="003829B6">
        <w:rPr>
          <w:rStyle w:val="l11"/>
          <w:rFonts w:ascii="Arial" w:hAnsi="Arial" w:cs="Arial"/>
          <w:color w:val="000000"/>
          <w:sz w:val="20"/>
          <w:bdr w:val="none" w:color="auto" w:sz="0" w:space="0" w:frame="1"/>
          <w:shd w:val="clear" w:color="auto" w:fill="FFFFFF"/>
        </w:rPr>
        <w:t>, and the focus on consumers</w:t>
      </w:r>
      <w:r w:rsidR="00193F74">
        <w:rPr>
          <w:rStyle w:val="l11"/>
          <w:rFonts w:ascii="Arial" w:hAnsi="Arial" w:cs="Arial"/>
          <w:color w:val="000000"/>
          <w:sz w:val="20"/>
          <w:bdr w:val="none" w:color="auto" w:sz="0" w:space="0" w:frame="1"/>
          <w:shd w:val="clear" w:color="auto" w:fill="FFFFFF"/>
        </w:rPr>
        <w:t xml:space="preserve"> as outlined in the Consultation Paper</w:t>
      </w:r>
      <w:r w:rsidR="00F64F97">
        <w:rPr>
          <w:rStyle w:val="l11"/>
          <w:rFonts w:ascii="Arial" w:hAnsi="Arial" w:cs="Arial"/>
          <w:color w:val="000000"/>
          <w:sz w:val="20"/>
          <w:bdr w:val="none" w:color="auto" w:sz="0" w:space="0" w:frame="1"/>
          <w:shd w:val="clear" w:color="auto" w:fill="FFFFFF"/>
        </w:rPr>
        <w:t>. We also believe that f</w:t>
      </w:r>
      <w:r w:rsidRPr="00A42F12">
        <w:rPr>
          <w:rStyle w:val="l11"/>
          <w:rFonts w:ascii="Arial" w:hAnsi="Arial" w:cs="Arial"/>
          <w:color w:val="000000"/>
          <w:sz w:val="20"/>
          <w:bdr w:val="none" w:color="auto" w:sz="0" w:space="0" w:frame="1"/>
          <w:shd w:val="clear" w:color="auto" w:fill="FFFFFF"/>
        </w:rPr>
        <w:t>ull coverage of DER requirements product safety and installation under this program</w:t>
      </w:r>
      <w:r>
        <w:rPr>
          <w:rStyle w:val="l11"/>
          <w:rFonts w:ascii="Arial" w:hAnsi="Arial" w:cs="Arial"/>
          <w:color w:val="000000"/>
          <w:sz w:val="20"/>
          <w:bdr w:val="none" w:color="auto" w:sz="0" w:space="0" w:frame="1"/>
          <w:shd w:val="clear" w:color="auto" w:fill="FFFFFF"/>
        </w:rPr>
        <w:t xml:space="preserve">. </w:t>
      </w:r>
      <w:r w:rsidRPr="00A42F12">
        <w:rPr>
          <w:rStyle w:val="l11"/>
          <w:rFonts w:ascii="Arial" w:hAnsi="Arial" w:cs="Arial"/>
          <w:color w:val="000000"/>
          <w:sz w:val="20"/>
          <w:bdr w:val="none" w:color="auto" w:sz="0" w:space="0" w:frame="1"/>
          <w:shd w:val="clear" w:color="auto" w:fill="FFFFFF"/>
        </w:rPr>
        <w:t>Ultimately compliance</w:t>
      </w:r>
      <w:r>
        <w:rPr>
          <w:rStyle w:val="l11"/>
          <w:rFonts w:ascii="Arial" w:hAnsi="Arial" w:cs="Arial"/>
          <w:color w:val="000000"/>
          <w:sz w:val="20"/>
          <w:bdr w:val="none" w:color="auto" w:sz="0" w:space="0" w:frame="1"/>
          <w:shd w:val="clear" w:color="auto" w:fill="FFFFFF"/>
        </w:rPr>
        <w:t xml:space="preserve"> will rest with the relevant state electrical regulators – but electrical system security and distribution network management also requires focus on product safety.</w:t>
      </w:r>
    </w:p>
    <w:p w:rsidR="00A42F12" w:rsidP="00A42F12" w:rsidRDefault="003829B6" w14:paraId="3779626B" w14:textId="362C0505">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lastRenderedPageBreak/>
        <w:t>Safety is also critical</w:t>
      </w:r>
      <w:r w:rsidR="00A42F12">
        <w:rPr>
          <w:rStyle w:val="l11"/>
          <w:rFonts w:ascii="Arial" w:hAnsi="Arial" w:cs="Arial"/>
          <w:color w:val="000000"/>
          <w:sz w:val="20"/>
          <w:bdr w:val="none" w:color="auto" w:sz="0" w:space="0" w:frame="1"/>
          <w:shd w:val="clear" w:color="auto" w:fill="FFFFFF"/>
        </w:rPr>
        <w:t xml:space="preserve"> for consumers as well and a clear gap with no body taking ownership of the Battery Storage </w:t>
      </w:r>
      <w:r w:rsidR="004B1BA7">
        <w:rPr>
          <w:rStyle w:val="l11"/>
          <w:rFonts w:ascii="Arial" w:hAnsi="Arial" w:cs="Arial"/>
          <w:color w:val="000000"/>
          <w:sz w:val="20"/>
          <w:bdr w:val="none" w:color="auto" w:sz="0" w:space="0" w:frame="1"/>
          <w:shd w:val="clear" w:color="auto" w:fill="FFFFFF"/>
        </w:rPr>
        <w:t>Best Practice Guide on Product Safety</w:t>
      </w:r>
      <w:r w:rsidR="00193F74">
        <w:rPr>
          <w:rStyle w:val="l11"/>
          <w:rFonts w:ascii="Arial" w:hAnsi="Arial" w:cs="Arial"/>
          <w:color w:val="000000"/>
          <w:sz w:val="20"/>
          <w:bdr w:val="none" w:color="auto" w:sz="0" w:space="0" w:frame="1"/>
          <w:shd w:val="clear" w:color="auto" w:fill="FFFFFF"/>
        </w:rPr>
        <w:t xml:space="preserve"> (as an example)</w:t>
      </w:r>
      <w:r w:rsidR="004B1BA7">
        <w:rPr>
          <w:rStyle w:val="l11"/>
          <w:rFonts w:ascii="Arial" w:hAnsi="Arial" w:cs="Arial"/>
          <w:color w:val="000000"/>
          <w:sz w:val="20"/>
          <w:bdr w:val="none" w:color="auto" w:sz="0" w:space="0" w:frame="1"/>
          <w:shd w:val="clear" w:color="auto" w:fill="FFFFFF"/>
        </w:rPr>
        <w:t>.</w:t>
      </w:r>
      <w:r w:rsidR="00A42F12">
        <w:rPr>
          <w:rStyle w:val="l11"/>
          <w:rFonts w:ascii="Arial" w:hAnsi="Arial" w:cs="Arial"/>
          <w:color w:val="000000"/>
          <w:sz w:val="20"/>
          <w:bdr w:val="none" w:color="auto" w:sz="0" w:space="0" w:frame="1"/>
          <w:shd w:val="clear" w:color="auto" w:fill="FFFFFF"/>
        </w:rPr>
        <w:t xml:space="preserve"> </w:t>
      </w:r>
      <w:r w:rsidR="004B1BA7">
        <w:rPr>
          <w:rStyle w:val="l11"/>
          <w:rFonts w:ascii="Arial" w:hAnsi="Arial" w:cs="Arial"/>
          <w:color w:val="000000"/>
          <w:sz w:val="20"/>
          <w:bdr w:val="none" w:color="auto" w:sz="0" w:space="0" w:frame="1"/>
          <w:shd w:val="clear" w:color="auto" w:fill="FFFFFF"/>
        </w:rPr>
        <w:t>Other industries are likely to face similar gaps in ownership on product and installation standards as the industries evolve</w:t>
      </w:r>
      <w:r w:rsidR="00A42F12">
        <w:rPr>
          <w:rStyle w:val="l11"/>
          <w:rFonts w:ascii="Arial" w:hAnsi="Arial" w:cs="Arial"/>
          <w:color w:val="000000"/>
          <w:sz w:val="20"/>
          <w:bdr w:val="none" w:color="auto" w:sz="0" w:space="0" w:frame="1"/>
          <w:shd w:val="clear" w:color="auto" w:fill="FFFFFF"/>
        </w:rPr>
        <w:t xml:space="preserve">. </w:t>
      </w:r>
    </w:p>
    <w:p w:rsidR="00A42F12" w:rsidP="00A42F12" w:rsidRDefault="004B1BA7" w14:paraId="341A1939" w14:textId="70E8687F">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As per the point above, allocating clear roles and responsibilities will be critical in setting the vision for DER standards. The vision should cover not just the standards themselves, but how they are to be developed.</w:t>
      </w:r>
    </w:p>
    <w:p w:rsidR="00F24998" w:rsidP="00A42F12" w:rsidRDefault="00193F74" w14:paraId="70FC12A3" w14:textId="05953B12">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Tesla s</w:t>
      </w:r>
      <w:r w:rsidR="00F24998">
        <w:rPr>
          <w:rStyle w:val="l11"/>
          <w:rFonts w:ascii="Arial" w:hAnsi="Arial" w:cs="Arial"/>
          <w:color w:val="000000"/>
          <w:sz w:val="20"/>
          <w:bdr w:val="none" w:color="auto" w:sz="0" w:space="0" w:frame="1"/>
          <w:shd w:val="clear" w:color="auto" w:fill="FFFFFF"/>
        </w:rPr>
        <w:t>upport</w:t>
      </w:r>
      <w:r>
        <w:rPr>
          <w:rStyle w:val="l11"/>
          <w:rFonts w:ascii="Arial" w:hAnsi="Arial" w:cs="Arial"/>
          <w:color w:val="000000"/>
          <w:sz w:val="20"/>
          <w:bdr w:val="none" w:color="auto" w:sz="0" w:space="0" w:frame="1"/>
          <w:shd w:val="clear" w:color="auto" w:fill="FFFFFF"/>
        </w:rPr>
        <w:t>s</w:t>
      </w:r>
      <w:r w:rsidR="00F24998">
        <w:rPr>
          <w:rStyle w:val="l11"/>
          <w:rFonts w:ascii="Arial" w:hAnsi="Arial" w:cs="Arial"/>
          <w:color w:val="000000"/>
          <w:sz w:val="20"/>
          <w:bdr w:val="none" w:color="auto" w:sz="0" w:space="0" w:frame="1"/>
          <w:shd w:val="clear" w:color="auto" w:fill="FFFFFF"/>
        </w:rPr>
        <w:t xml:space="preserve"> the approach of establishing technical expert sub-committees although we do not agree that using existing Standards Australia committees is a good approach. There’s a need to refresh and review to make sure the right people are consulted on specific standards.</w:t>
      </w:r>
    </w:p>
    <w:p w:rsidR="00003737" w:rsidP="00A42F12" w:rsidRDefault="004B1BA7" w14:paraId="0618E8A3" w14:textId="12C56D63">
      <w:pPr>
        <w:rPr>
          <w:rStyle w:val="l11"/>
          <w:rFonts w:ascii="Arial" w:hAnsi="Arial" w:cs="Arial"/>
          <w:color w:val="000000"/>
          <w:sz w:val="20"/>
          <w:bdr w:val="none" w:color="auto" w:sz="0" w:space="0" w:frame="1"/>
          <w:shd w:val="clear" w:color="auto" w:fill="FFFFFF"/>
        </w:rPr>
      </w:pPr>
      <w:r w:rsidRPr="004B1BA7">
        <w:rPr>
          <w:rStyle w:val="l11"/>
          <w:rFonts w:ascii="Arial" w:hAnsi="Arial" w:cs="Arial"/>
          <w:color w:val="000000"/>
          <w:sz w:val="20"/>
          <w:bdr w:val="none" w:color="auto" w:sz="0" w:space="0" w:frame="1"/>
          <w:shd w:val="clear" w:color="auto" w:fill="FFFFFF"/>
        </w:rPr>
        <w:t>It will also be critical for the vision to consider the</w:t>
      </w:r>
      <w:r w:rsidR="00003737">
        <w:rPr>
          <w:rStyle w:val="l11"/>
          <w:rFonts w:ascii="Arial" w:hAnsi="Arial" w:cs="Arial"/>
          <w:b/>
          <w:color w:val="000000"/>
          <w:sz w:val="20"/>
          <w:bdr w:val="none" w:color="auto" w:sz="0" w:space="0" w:frame="1"/>
          <w:shd w:val="clear" w:color="auto" w:fill="FFFFFF"/>
        </w:rPr>
        <w:t xml:space="preserve"> </w:t>
      </w:r>
      <w:r w:rsidR="00003737">
        <w:rPr>
          <w:rStyle w:val="l11"/>
          <w:rFonts w:ascii="Arial" w:hAnsi="Arial" w:cs="Arial"/>
          <w:color w:val="000000"/>
          <w:sz w:val="20"/>
          <w:bdr w:val="none" w:color="auto" w:sz="0" w:space="0" w:frame="1"/>
          <w:shd w:val="clear" w:color="auto" w:fill="FFFFFF"/>
        </w:rPr>
        <w:t xml:space="preserve">assessment of technical standards vs. market </w:t>
      </w:r>
      <w:r>
        <w:rPr>
          <w:rStyle w:val="l11"/>
          <w:rFonts w:ascii="Arial" w:hAnsi="Arial" w:cs="Arial"/>
          <w:color w:val="000000"/>
          <w:sz w:val="20"/>
          <w:bdr w:val="none" w:color="auto" w:sz="0" w:space="0" w:frame="1"/>
          <w:shd w:val="clear" w:color="auto" w:fill="FFFFFF"/>
        </w:rPr>
        <w:t>incentives for particular behaviours (through DER integration into real-time markets or through tariff restructuring)</w:t>
      </w:r>
      <w:r w:rsidR="00003737">
        <w:rPr>
          <w:rStyle w:val="l11"/>
          <w:rFonts w:ascii="Arial" w:hAnsi="Arial" w:cs="Arial"/>
          <w:color w:val="000000"/>
          <w:sz w:val="20"/>
          <w:bdr w:val="none" w:color="auto" w:sz="0" w:space="0" w:frame="1"/>
          <w:shd w:val="clear" w:color="auto" w:fill="FFFFFF"/>
        </w:rPr>
        <w:t xml:space="preserve">. </w:t>
      </w:r>
      <w:r>
        <w:rPr>
          <w:rStyle w:val="l11"/>
          <w:rFonts w:ascii="Arial" w:hAnsi="Arial" w:cs="Arial"/>
          <w:color w:val="000000"/>
          <w:sz w:val="20"/>
          <w:bdr w:val="none" w:color="auto" w:sz="0" w:space="0" w:frame="1"/>
          <w:shd w:val="clear" w:color="auto" w:fill="FFFFFF"/>
        </w:rPr>
        <w:t xml:space="preserve">Often the two are </w:t>
      </w:r>
      <w:r w:rsidR="00003737">
        <w:rPr>
          <w:rStyle w:val="l11"/>
          <w:rFonts w:ascii="Arial" w:hAnsi="Arial" w:cs="Arial"/>
          <w:color w:val="000000"/>
          <w:sz w:val="20"/>
          <w:bdr w:val="none" w:color="auto" w:sz="0" w:space="0" w:frame="1"/>
          <w:shd w:val="clear" w:color="auto" w:fill="FFFFFF"/>
        </w:rPr>
        <w:t>related and in some instances technical standards will be used to enable market integration (i.e. interoperability and communications standards). However there is a risk that DER will be forced to provide certain services that would otherwise be remunerated under market structures.</w:t>
      </w:r>
      <w:r>
        <w:rPr>
          <w:rStyle w:val="l11"/>
          <w:rFonts w:ascii="Arial" w:hAnsi="Arial" w:cs="Arial"/>
          <w:color w:val="000000"/>
          <w:sz w:val="20"/>
          <w:bdr w:val="none" w:color="auto" w:sz="0" w:space="0" w:frame="1"/>
          <w:shd w:val="clear" w:color="auto" w:fill="FFFFFF"/>
        </w:rPr>
        <w:t xml:space="preserve"> The vision for DER technical standards cannot be designed in a bubble, it needs to consider all other DER work programs underway.</w:t>
      </w:r>
    </w:p>
    <w:p w:rsidR="003829B6" w:rsidP="00A42F12" w:rsidRDefault="003829B6" w14:paraId="3B02365F" w14:textId="77777777">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Tesla also supports the focus on how stakeholders will be engaged. It will be important for the DER Standards Governance Committee to consider how all stakeholders are best engaged, not just the major market players. We would suggest that industry working groups will be a way to bring industry players on board early on, and will be preferable to </w:t>
      </w:r>
      <w:r w:rsidR="00853378">
        <w:rPr>
          <w:rStyle w:val="l11"/>
          <w:rFonts w:ascii="Arial" w:hAnsi="Arial" w:cs="Arial"/>
          <w:color w:val="000000"/>
          <w:sz w:val="20"/>
          <w:bdr w:val="none" w:color="auto" w:sz="0" w:space="0" w:frame="1"/>
          <w:shd w:val="clear" w:color="auto" w:fill="FFFFFF"/>
        </w:rPr>
        <w:t>desktop consultation</w:t>
      </w:r>
    </w:p>
    <w:p w:rsidR="00003737" w:rsidP="00A42F12" w:rsidRDefault="00003737" w14:paraId="33D0E67A" w14:textId="7670D68F">
      <w:pPr>
        <w:rPr>
          <w:rStyle w:val="l11"/>
          <w:rFonts w:ascii="Arial" w:hAnsi="Arial" w:cs="Arial"/>
          <w:color w:val="000000"/>
          <w:sz w:val="20"/>
          <w:bdr w:val="none" w:color="auto" w:sz="0" w:space="0" w:frame="1"/>
          <w:shd w:val="clear" w:color="auto" w:fill="FFFFFF"/>
        </w:rPr>
      </w:pPr>
    </w:p>
    <w:p w:rsidRPr="00003737" w:rsidR="00003737" w:rsidP="00232A39" w:rsidRDefault="00003737" w14:paraId="61E4318B" w14:textId="3BF7476C">
      <w:pPr>
        <w:pStyle w:val="ListParagraph"/>
        <w:numPr>
          <w:ilvl w:val="0"/>
          <w:numId w:val="4"/>
        </w:numPr>
        <w:rPr>
          <w:rFonts w:ascii="Arial" w:hAnsi="Arial" w:cs="Arial"/>
          <w:b/>
          <w:i/>
          <w:color w:val="000000"/>
          <w:sz w:val="20"/>
          <w:bdr w:val="none" w:color="auto" w:sz="0" w:space="0" w:frame="1"/>
          <w:shd w:val="clear" w:color="auto" w:fill="FFFFFF"/>
        </w:rPr>
      </w:pPr>
      <w:r w:rsidRPr="00003737">
        <w:rPr>
          <w:rFonts w:ascii="Arial" w:hAnsi="Arial" w:cs="Arial"/>
          <w:i/>
          <w:color w:val="000000"/>
          <w:sz w:val="20"/>
          <w:szCs w:val="20"/>
          <w:lang w:val="en-US"/>
        </w:rPr>
        <w:t>Developing a technical standards work program</w:t>
      </w:r>
    </w:p>
    <w:p w:rsidR="00193F74" w:rsidP="00003737" w:rsidRDefault="004B1BA7" w14:paraId="3EF9AAA8" w14:textId="3ECB0DA6">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In developing a technical standards work program, the committee will need to ensure that all suggested standards </w:t>
      </w:r>
      <w:r w:rsidR="00292BD5">
        <w:rPr>
          <w:rStyle w:val="l11"/>
          <w:rFonts w:ascii="Arial" w:hAnsi="Arial" w:cs="Arial"/>
          <w:color w:val="000000"/>
          <w:sz w:val="20"/>
          <w:bdr w:val="none" w:color="auto" w:sz="0" w:space="0" w:frame="1"/>
          <w:shd w:val="clear" w:color="auto" w:fill="FFFFFF"/>
        </w:rPr>
        <w:t xml:space="preserve">are introduced to solve a particular problem or contribute to the growth of the industry. </w:t>
      </w:r>
      <w:r w:rsidR="00193F74">
        <w:rPr>
          <w:rStyle w:val="l11"/>
          <w:rFonts w:ascii="Arial" w:hAnsi="Arial" w:cs="Arial"/>
          <w:color w:val="000000"/>
          <w:sz w:val="20"/>
          <w:bdr w:val="none" w:color="auto" w:sz="0" w:space="0" w:frame="1"/>
          <w:shd w:val="clear" w:color="auto" w:fill="FFFFFF"/>
        </w:rPr>
        <w:t xml:space="preserve">Over the last 24 months, the industry has seen an enormous amount of activity led by a multitude of bodies (state governments, industry </w:t>
      </w:r>
      <w:r w:rsidR="0095542D">
        <w:rPr>
          <w:rStyle w:val="l11"/>
          <w:rFonts w:ascii="Arial" w:hAnsi="Arial" w:cs="Arial"/>
          <w:color w:val="000000"/>
          <w:sz w:val="20"/>
          <w:bdr w:val="none" w:color="auto" w:sz="0" w:space="0" w:frame="1"/>
          <w:shd w:val="clear" w:color="auto" w:fill="FFFFFF"/>
        </w:rPr>
        <w:t>bodies, regulatory bodies etc.)</w:t>
      </w:r>
      <w:r w:rsidR="00193F74">
        <w:rPr>
          <w:rStyle w:val="l11"/>
          <w:rFonts w:ascii="Arial" w:hAnsi="Arial" w:cs="Arial"/>
          <w:color w:val="000000"/>
          <w:sz w:val="20"/>
          <w:bdr w:val="none" w:color="auto" w:sz="0" w:space="0" w:frame="1"/>
          <w:shd w:val="clear" w:color="auto" w:fill="FFFFFF"/>
        </w:rPr>
        <w:t xml:space="preserve"> It is not always clear what problems are to be addressed by the proposed standards and how they are being coordinated with other activities.</w:t>
      </w:r>
    </w:p>
    <w:p w:rsidR="004B1BA7" w:rsidP="00003737" w:rsidRDefault="00292BD5" w14:paraId="51048C30" w14:textId="52346453">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As per the comments on point 1 above, all new standards should be considered against incentive based alternatives.</w:t>
      </w:r>
    </w:p>
    <w:p w:rsidR="00292BD5" w:rsidP="00003737" w:rsidRDefault="00292BD5" w14:paraId="0331FB63" w14:textId="3F4DCDED">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In setting the work program, Tesla also recommends that the following is taken into account:</w:t>
      </w:r>
    </w:p>
    <w:p w:rsidR="00292BD5" w:rsidP="00232A39" w:rsidRDefault="00003737" w14:paraId="5A092103" w14:textId="77777777">
      <w:pPr>
        <w:pStyle w:val="ListParagraph"/>
        <w:numPr>
          <w:ilvl w:val="0"/>
          <w:numId w:val="10"/>
        </w:numPr>
        <w:rPr>
          <w:rStyle w:val="l11"/>
          <w:rFonts w:ascii="Arial" w:hAnsi="Arial" w:cs="Arial"/>
          <w:color w:val="000000"/>
          <w:sz w:val="20"/>
          <w:bdr w:val="none" w:color="auto" w:sz="0" w:space="0" w:frame="1"/>
          <w:shd w:val="clear" w:color="auto" w:fill="FFFFFF"/>
        </w:rPr>
      </w:pPr>
      <w:r w:rsidRPr="00292BD5">
        <w:rPr>
          <w:rStyle w:val="l11"/>
          <w:rFonts w:ascii="Arial" w:hAnsi="Arial" w:cs="Arial"/>
          <w:color w:val="000000"/>
          <w:sz w:val="20"/>
          <w:bdr w:val="none" w:color="auto" w:sz="0" w:space="0" w:frame="1"/>
          <w:shd w:val="clear" w:color="auto" w:fill="FFFFFF"/>
        </w:rPr>
        <w:t>Clear timelines for consultation, approach for consultation and establishment of industry working groups</w:t>
      </w:r>
      <w:r w:rsidR="00292BD5">
        <w:rPr>
          <w:rStyle w:val="l11"/>
          <w:rFonts w:ascii="Arial" w:hAnsi="Arial" w:cs="Arial"/>
          <w:color w:val="000000"/>
          <w:sz w:val="20"/>
          <w:bdr w:val="none" w:color="auto" w:sz="0" w:space="0" w:frame="1"/>
          <w:shd w:val="clear" w:color="auto" w:fill="FFFFFF"/>
        </w:rPr>
        <w:t xml:space="preserve"> to support new standard development.</w:t>
      </w:r>
    </w:p>
    <w:p w:rsidR="00F24998" w:rsidP="00232A39" w:rsidRDefault="00292BD5" w14:paraId="14D8C1AD" w14:textId="6D89158E">
      <w:pPr>
        <w:pStyle w:val="ListParagraph"/>
        <w:numPr>
          <w:ilvl w:val="0"/>
          <w:numId w:val="10"/>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Timelines for implementation – with appropriate compliance timeframes</w:t>
      </w:r>
    </w:p>
    <w:p w:rsidR="00F64F97" w:rsidP="00003737" w:rsidRDefault="00F64F97" w14:paraId="570AD7F2" w14:textId="2AA1B251">
      <w:pPr>
        <w:rPr>
          <w:rStyle w:val="l11"/>
          <w:rFonts w:ascii="Arial" w:hAnsi="Arial" w:cs="Arial"/>
          <w:color w:val="000000"/>
          <w:sz w:val="20"/>
          <w:bdr w:val="none" w:color="auto" w:sz="0" w:space="0" w:frame="1"/>
          <w:shd w:val="clear" w:color="auto" w:fill="FFFFFF"/>
        </w:rPr>
      </w:pPr>
    </w:p>
    <w:p w:rsidRPr="00292BD5" w:rsidR="00003737" w:rsidP="00232A39" w:rsidRDefault="00F64F97" w14:paraId="37B5A6EC" w14:textId="78674DED">
      <w:pPr>
        <w:pStyle w:val="ListParagraph"/>
        <w:numPr>
          <w:ilvl w:val="0"/>
          <w:numId w:val="4"/>
        </w:numPr>
        <w:rPr>
          <w:rStyle w:val="l11"/>
          <w:rFonts w:ascii="Arial" w:hAnsi="Arial" w:cs="Arial"/>
          <w:i/>
          <w:color w:val="000000"/>
          <w:sz w:val="20"/>
          <w:bdr w:val="none" w:color="auto" w:sz="0" w:space="0" w:frame="1"/>
          <w:shd w:val="clear" w:color="auto" w:fill="FFFFFF"/>
        </w:rPr>
      </w:pPr>
      <w:r>
        <w:rPr>
          <w:rStyle w:val="l11"/>
          <w:rFonts w:ascii="Arial" w:hAnsi="Arial" w:cs="Arial"/>
          <w:i/>
          <w:color w:val="000000"/>
          <w:sz w:val="20"/>
          <w:bdr w:val="none" w:color="auto" w:sz="0" w:space="0" w:frame="1"/>
          <w:shd w:val="clear" w:color="auto" w:fill="FFFFFF"/>
        </w:rPr>
        <w:t>Monitoring, reviewing and setting DER technical standards</w:t>
      </w:r>
    </w:p>
    <w:p w:rsidR="00F64F97" w:rsidP="00F64F97" w:rsidRDefault="00292BD5" w14:paraId="3A18F6C0" w14:textId="2AC04793">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When setting new DER technical standards, Tesla recommends focusing attention</w:t>
      </w:r>
      <w:r w:rsidR="00F64F97">
        <w:rPr>
          <w:rStyle w:val="l11"/>
          <w:rFonts w:ascii="Arial" w:hAnsi="Arial" w:cs="Arial"/>
          <w:color w:val="000000"/>
          <w:sz w:val="20"/>
          <w:bdr w:val="none" w:color="auto" w:sz="0" w:space="0" w:frame="1"/>
          <w:shd w:val="clear" w:color="auto" w:fill="FFFFFF"/>
        </w:rPr>
        <w:t xml:space="preserve"> on international standards and not recreating the wheel in Australia.</w:t>
      </w:r>
    </w:p>
    <w:p w:rsidR="00292BD5" w:rsidP="00F64F97" w:rsidRDefault="00292BD5" w14:paraId="2D868940" w14:textId="4AA9F4CD">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Further consideration should be given to appropriately resourcing bodies that are developing the standards. It will also be important to address the flaws in the existing processes raised above.</w:t>
      </w:r>
    </w:p>
    <w:p w:rsidR="00853378" w:rsidP="00F64F97" w:rsidRDefault="00853378" w14:paraId="752127FF" w14:textId="3E869310">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There are other critical questions that need to be answered in respect of how the Committee sets standards:</w:t>
      </w:r>
    </w:p>
    <w:p w:rsidR="00853378" w:rsidP="00232A39" w:rsidRDefault="00853378" w14:paraId="4BC49006" w14:textId="75F16909">
      <w:pPr>
        <w:pStyle w:val="ListParagraph"/>
        <w:numPr>
          <w:ilvl w:val="0"/>
          <w:numId w:val="11"/>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Who is able to suggest new Standards to the Committee? Can anyone make recommendations for the Committee to consider (similar to the current rule setting process overseen by the AEMC).</w:t>
      </w:r>
    </w:p>
    <w:p w:rsidR="00853378" w:rsidP="00232A39" w:rsidRDefault="00853378" w14:paraId="495785D1" w14:textId="17187EF9">
      <w:pPr>
        <w:pStyle w:val="ListParagraph"/>
        <w:numPr>
          <w:ilvl w:val="0"/>
          <w:numId w:val="11"/>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lastRenderedPageBreak/>
        <w:t>Will the Committee be the only body who has the opportunity to guide DER standards written by Standards Australia? Or is there the potential that Standards Australia will continue to publish DER standards outside of the approved work program? If so will the Committee have the authority to advise state governments that Standards developed outside of the “technical standards work program” should not be called upon in state legislation?</w:t>
      </w:r>
    </w:p>
    <w:p w:rsidR="00292BD5" w:rsidP="00F64F97" w:rsidRDefault="00853378" w14:paraId="348F2FCA" w14:textId="5B685619">
      <w:pPr>
        <w:pStyle w:val="ListParagraph"/>
        <w:numPr>
          <w:ilvl w:val="0"/>
          <w:numId w:val="11"/>
        </w:num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What authority will the Committee have over DNSP processes?</w:t>
      </w:r>
    </w:p>
    <w:p w:rsidR="0062104B" w:rsidP="0062104B" w:rsidRDefault="0062104B" w14:paraId="4CBBE861" w14:textId="77777777">
      <w:pPr>
        <w:pStyle w:val="ListParagraph"/>
        <w:rPr>
          <w:rStyle w:val="l11"/>
          <w:rFonts w:ascii="Arial" w:hAnsi="Arial" w:cs="Arial"/>
          <w:color w:val="000000"/>
          <w:sz w:val="20"/>
          <w:bdr w:val="none" w:color="auto" w:sz="0" w:space="0" w:frame="1"/>
          <w:shd w:val="clear" w:color="auto" w:fill="FFFFFF"/>
        </w:rPr>
      </w:pPr>
    </w:p>
    <w:p w:rsidRPr="0095542D" w:rsidR="0095542D" w:rsidP="0095542D" w:rsidRDefault="0095542D" w14:paraId="4C15678C" w14:textId="77777777">
      <w:pPr>
        <w:pStyle w:val="ListParagraph"/>
        <w:rPr>
          <w:rStyle w:val="l11"/>
          <w:rFonts w:ascii="Arial" w:hAnsi="Arial" w:cs="Arial"/>
          <w:color w:val="000000"/>
          <w:sz w:val="20"/>
          <w:bdr w:val="none" w:color="auto" w:sz="0" w:space="0" w:frame="1"/>
          <w:shd w:val="clear" w:color="auto" w:fill="FFFFFF"/>
        </w:rPr>
      </w:pPr>
    </w:p>
    <w:p w:rsidRPr="00292BD5" w:rsidR="00F64F97" w:rsidP="00232A39" w:rsidRDefault="00F64F97" w14:paraId="38350DEE" w14:textId="42C81D4E">
      <w:pPr>
        <w:pStyle w:val="ListParagraph"/>
        <w:numPr>
          <w:ilvl w:val="0"/>
          <w:numId w:val="4"/>
        </w:numPr>
        <w:rPr>
          <w:rStyle w:val="l11"/>
          <w:rFonts w:ascii="Arial" w:hAnsi="Arial" w:cs="Arial"/>
          <w:color w:val="000000"/>
          <w:sz w:val="20"/>
          <w:bdr w:val="none" w:color="auto" w:sz="0" w:space="0" w:frame="1"/>
          <w:shd w:val="clear" w:color="auto" w:fill="FFFFFF"/>
        </w:rPr>
      </w:pPr>
      <w:r>
        <w:rPr>
          <w:rStyle w:val="l11"/>
          <w:rFonts w:ascii="Arial" w:hAnsi="Arial" w:cs="Arial"/>
          <w:i/>
          <w:color w:val="000000"/>
          <w:sz w:val="20"/>
          <w:bdr w:val="none" w:color="auto" w:sz="0" w:space="0" w:frame="1"/>
          <w:shd w:val="clear" w:color="auto" w:fill="FFFFFF"/>
        </w:rPr>
        <w:t>Issues related to compliance and enforcement of standards</w:t>
      </w:r>
    </w:p>
    <w:p w:rsidR="00292BD5" w:rsidP="00292BD5" w:rsidRDefault="00292BD5" w14:paraId="5072098C" w14:textId="709881B6">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This is a very important issue as there is a clear gap at the moment, with very little focus on compliance. Tesla supports this being a part of the DER Governance Committee priorities.</w:t>
      </w:r>
    </w:p>
    <w:p w:rsidR="00853378" w:rsidP="00292BD5" w:rsidRDefault="00853378" w14:paraId="25B51695" w14:textId="7DE73C94">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 xml:space="preserve">It will be equally important for the DER Standards Governance Committee to consider how complaints are lodged, both by industry and consumers. While the Committee may not have adjudicative functions, it should consider the bodies that are best able to clarify any ambiguities in the Standards and respond to industry questions and concerns. </w:t>
      </w:r>
    </w:p>
    <w:p w:rsidRPr="00292BD5" w:rsidR="00292BD5" w:rsidP="00292BD5" w:rsidRDefault="00292BD5" w14:paraId="42D6D5DD" w14:textId="77777777">
      <w:pPr>
        <w:rPr>
          <w:rStyle w:val="l11"/>
          <w:rFonts w:ascii="Arial" w:hAnsi="Arial" w:cs="Arial"/>
          <w:color w:val="000000"/>
          <w:sz w:val="20"/>
          <w:bdr w:val="none" w:color="auto" w:sz="0" w:space="0" w:frame="1"/>
          <w:shd w:val="clear" w:color="auto" w:fill="FFFFFF"/>
        </w:rPr>
      </w:pPr>
    </w:p>
    <w:p w:rsidRPr="00F64F97" w:rsidR="00F64F97" w:rsidP="00232A39" w:rsidRDefault="00F64F97" w14:paraId="6A8E7BD7" w14:textId="2CAC650E">
      <w:pPr>
        <w:pStyle w:val="ListParagraph"/>
        <w:numPr>
          <w:ilvl w:val="0"/>
          <w:numId w:val="4"/>
        </w:numPr>
        <w:rPr>
          <w:rStyle w:val="l11"/>
          <w:rFonts w:ascii="Arial" w:hAnsi="Arial" w:cs="Arial"/>
          <w:color w:val="000000"/>
          <w:sz w:val="20"/>
          <w:bdr w:val="none" w:color="auto" w:sz="0" w:space="0" w:frame="1"/>
          <w:shd w:val="clear" w:color="auto" w:fill="FFFFFF"/>
        </w:rPr>
      </w:pPr>
      <w:r>
        <w:rPr>
          <w:rStyle w:val="l11"/>
          <w:rFonts w:ascii="Arial" w:hAnsi="Arial" w:cs="Arial"/>
          <w:i/>
          <w:color w:val="000000"/>
          <w:sz w:val="20"/>
          <w:bdr w:val="none" w:color="auto" w:sz="0" w:space="0" w:frame="1"/>
          <w:shd w:val="clear" w:color="auto" w:fill="FFFFFF"/>
        </w:rPr>
        <w:t>Providing advice on standards and undertaking regulatory reviews</w:t>
      </w:r>
    </w:p>
    <w:p w:rsidR="00F64F97" w:rsidP="00F64F97" w:rsidRDefault="00193F74" w14:paraId="46A307CA" w14:textId="7D56CFF0">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The approach proposed by the ESB in providing advice on standards and undertaking reviews appears reasonable, subject to all the comments above.</w:t>
      </w:r>
    </w:p>
    <w:p w:rsidR="0062104B" w:rsidP="00F64F97" w:rsidRDefault="0062104B" w14:paraId="09FFF5A8" w14:textId="77777777">
      <w:pPr>
        <w:rPr>
          <w:rStyle w:val="l11"/>
          <w:rFonts w:ascii="Arial" w:hAnsi="Arial" w:cs="Arial"/>
          <w:color w:val="000000"/>
          <w:sz w:val="20"/>
          <w:bdr w:val="none" w:color="auto" w:sz="0" w:space="0" w:frame="1"/>
          <w:shd w:val="clear" w:color="auto" w:fill="FFFFFF"/>
        </w:rPr>
      </w:pPr>
    </w:p>
    <w:p w:rsidR="0062104B" w:rsidP="00F64F97" w:rsidRDefault="0062104B" w14:paraId="06743136" w14:textId="3812C7D2">
      <w:pPr>
        <w:rPr>
          <w:rStyle w:val="l11"/>
          <w:rFonts w:ascii="Arial" w:hAnsi="Arial" w:cs="Arial"/>
          <w:color w:val="000000"/>
          <w:sz w:val="20"/>
          <w:bdr w:val="none" w:color="auto" w:sz="0" w:space="0" w:frame="1"/>
          <w:shd w:val="clear" w:color="auto" w:fill="FFFFFF"/>
        </w:rPr>
      </w:pPr>
      <w:r>
        <w:rPr>
          <w:rStyle w:val="l11"/>
          <w:rFonts w:ascii="Arial" w:hAnsi="Arial" w:cs="Arial"/>
          <w:color w:val="000000"/>
          <w:sz w:val="20"/>
          <w:bdr w:val="none" w:color="auto" w:sz="0" w:space="0" w:frame="1"/>
          <w:shd w:val="clear" w:color="auto" w:fill="FFFFFF"/>
        </w:rPr>
        <w:t>For more information on any of the information contained in this response, please contact Emma Fagan (</w:t>
      </w:r>
      <w:hyperlink w:history="1" r:id="rId11">
        <w:r w:rsidRPr="001E7A5A">
          <w:rPr>
            <w:rStyle w:val="Hyperlink"/>
            <w:rFonts w:ascii="Arial" w:hAnsi="Arial" w:cs="Arial"/>
            <w:sz w:val="20"/>
            <w:bdr w:val="none" w:color="auto" w:sz="0" w:space="0" w:frame="1"/>
            <w:shd w:val="clear" w:color="auto" w:fill="FFFFFF"/>
          </w:rPr>
          <w:t>efagan@tesla.com</w:t>
        </w:r>
      </w:hyperlink>
      <w:r>
        <w:rPr>
          <w:rStyle w:val="l11"/>
          <w:rFonts w:ascii="Arial" w:hAnsi="Arial" w:cs="Arial"/>
          <w:color w:val="000000"/>
          <w:sz w:val="20"/>
          <w:bdr w:val="none" w:color="auto" w:sz="0" w:space="0" w:frame="1"/>
          <w:shd w:val="clear" w:color="auto" w:fill="FFFFFF"/>
        </w:rPr>
        <w:t>).</w:t>
      </w:r>
    </w:p>
    <w:p w:rsidR="0062104B" w:rsidP="00F64F97" w:rsidRDefault="0062104B" w14:paraId="6DAAB738" w14:textId="3DF9BF52">
      <w:pPr>
        <w:rPr>
          <w:rStyle w:val="l11"/>
          <w:rFonts w:ascii="Arial" w:hAnsi="Arial" w:cs="Arial"/>
          <w:color w:val="000000"/>
          <w:sz w:val="20"/>
          <w:bdr w:val="none" w:color="auto" w:sz="0" w:space="0" w:frame="1"/>
          <w:shd w:val="clear" w:color="auto" w:fill="FFFFFF"/>
        </w:rPr>
      </w:pPr>
    </w:p>
    <w:p w:rsidRPr="00934E4F" w:rsidR="0062104B" w:rsidP="0062104B" w:rsidRDefault="0062104B" w14:paraId="1F0CF0D8" w14:textId="77777777">
      <w:pPr>
        <w:pStyle w:val="paragraph"/>
        <w:spacing w:before="0" w:beforeAutospacing="0" w:after="120" w:afterAutospacing="0"/>
        <w:ind w:right="540"/>
        <w:jc w:val="both"/>
        <w:textAlignment w:val="baseline"/>
        <w:rPr>
          <w:rFonts w:ascii="Helvetica" w:hAnsi="Helvetica" w:cstheme="minorHAnsi"/>
          <w:sz w:val="18"/>
          <w:szCs w:val="18"/>
        </w:rPr>
      </w:pPr>
      <w:r>
        <w:rPr>
          <w:noProof/>
        </w:rPr>
        <w:drawing>
          <wp:anchor distT="0" distB="0" distL="114300" distR="114300" simplePos="0" relativeHeight="251659264" behindDoc="0" locked="0" layoutInCell="1" allowOverlap="1" wp14:anchorId="47B0BF46" wp14:editId="62A6BB2B">
            <wp:simplePos x="0" y="0"/>
            <wp:positionH relativeFrom="column">
              <wp:posOffset>-163830</wp:posOffset>
            </wp:positionH>
            <wp:positionV relativeFrom="paragraph">
              <wp:posOffset>211010</wp:posOffset>
            </wp:positionV>
            <wp:extent cx="1043305" cy="494030"/>
            <wp:effectExtent l="0" t="0" r="4445" b="1270"/>
            <wp:wrapSquare wrapText="bothSides"/>
            <wp:docPr id="664990363" name="Picture 3" descr="C:\Users\atayal\AppData\Local\Microsoft\Windows\INetCache\Content.MSO\488611B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3305" cy="494030"/>
                    </a:xfrm>
                    <a:prstGeom prst="rect">
                      <a:avLst/>
                    </a:prstGeom>
                  </pic:spPr>
                </pic:pic>
              </a:graphicData>
            </a:graphic>
          </wp:anchor>
        </w:drawing>
      </w:r>
      <w:r w:rsidRPr="319E123B" w:rsidR="0062104B">
        <w:rPr>
          <w:rStyle w:val="normaltextrun"/>
          <w:rFonts w:ascii="Helvetica" w:hAnsi="Helvetica" w:eastAsia="Calibri" w:cs="Arial" w:cstheme="minorBidi"/>
          <w:sz w:val="20"/>
          <w:szCs w:val="20"/>
        </w:rPr>
        <w:t>Kind regards</w:t>
      </w:r>
      <w:r w:rsidRPr="319E123B" w:rsidR="0062104B">
        <w:rPr>
          <w:rStyle w:val="eop"/>
          <w:rFonts w:ascii="Helvetica" w:hAnsi="Helvetica" w:cs="Arial" w:cstheme="minorBidi"/>
          <w:sz w:val="20"/>
          <w:szCs w:val="20"/>
        </w:rPr>
        <w:t> </w:t>
      </w:r>
    </w:p>
    <w:p w:rsidRPr="00934E4F" w:rsidR="0062104B" w:rsidP="0062104B" w:rsidRDefault="0062104B" w14:paraId="4E805294" w14:textId="77777777">
      <w:pPr>
        <w:pStyle w:val="paragraph"/>
        <w:spacing w:before="0" w:beforeAutospacing="0" w:after="0" w:afterAutospacing="0"/>
        <w:ind w:left="720" w:hanging="360"/>
        <w:jc w:val="both"/>
        <w:textAlignment w:val="baseline"/>
        <w:rPr>
          <w:rFonts w:ascii="Helvetica" w:hAnsi="Helvetica" w:cstheme="minorHAnsi"/>
          <w:sz w:val="18"/>
          <w:szCs w:val="18"/>
        </w:rPr>
      </w:pPr>
      <w:r w:rsidRPr="75ED30DA">
        <w:rPr>
          <w:rStyle w:val="eop"/>
          <w:rFonts w:ascii="Helvetica" w:hAnsi="Helvetica" w:cstheme="minorBidi"/>
          <w:sz w:val="20"/>
          <w:szCs w:val="20"/>
        </w:rPr>
        <w:t> </w:t>
      </w:r>
    </w:p>
    <w:p w:rsidR="0062104B" w:rsidP="0062104B" w:rsidRDefault="0062104B" w14:paraId="2BECD5E1" w14:textId="77777777">
      <w:pPr>
        <w:pStyle w:val="paragraph"/>
        <w:spacing w:before="0" w:beforeAutospacing="0" w:after="80" w:afterAutospacing="0"/>
        <w:jc w:val="both"/>
        <w:textAlignment w:val="baseline"/>
        <w:rPr>
          <w:rStyle w:val="normaltextrun"/>
          <w:rFonts w:ascii="Helvetica" w:hAnsi="Helvetica" w:eastAsia="Calibri" w:cstheme="minorBidi"/>
          <w:b/>
          <w:bCs/>
          <w:sz w:val="20"/>
          <w:szCs w:val="20"/>
          <w:lang w:val="en-GB"/>
        </w:rPr>
      </w:pPr>
    </w:p>
    <w:p w:rsidR="0062104B" w:rsidP="0062104B" w:rsidRDefault="0062104B" w14:paraId="37D5D19C" w14:textId="77777777">
      <w:pPr>
        <w:pStyle w:val="paragraph"/>
        <w:spacing w:before="0" w:beforeAutospacing="0" w:after="80" w:afterAutospacing="0"/>
        <w:jc w:val="both"/>
        <w:textAlignment w:val="baseline"/>
        <w:rPr>
          <w:rStyle w:val="normaltextrun"/>
          <w:rFonts w:ascii="Helvetica" w:hAnsi="Helvetica" w:eastAsia="Calibri" w:cstheme="minorBidi"/>
          <w:b/>
          <w:bCs/>
          <w:sz w:val="20"/>
          <w:szCs w:val="20"/>
          <w:lang w:val="en-GB"/>
        </w:rPr>
      </w:pPr>
    </w:p>
    <w:p w:rsidRPr="00934E4F" w:rsidR="0062104B" w:rsidP="0062104B" w:rsidRDefault="0062104B" w14:paraId="20D72258" w14:textId="77777777">
      <w:pPr>
        <w:pStyle w:val="paragraph"/>
        <w:spacing w:before="0" w:beforeAutospacing="0" w:after="80" w:afterAutospacing="0"/>
        <w:jc w:val="both"/>
        <w:textAlignment w:val="baseline"/>
        <w:rPr>
          <w:rStyle w:val="eop"/>
          <w:rFonts w:ascii="Helvetica" w:hAnsi="Helvetica" w:cstheme="minorHAnsi"/>
          <w:b/>
          <w:sz w:val="20"/>
          <w:szCs w:val="20"/>
        </w:rPr>
      </w:pPr>
      <w:r w:rsidRPr="00934E4F">
        <w:rPr>
          <w:rStyle w:val="normaltextrun"/>
          <w:rFonts w:ascii="Helvetica" w:hAnsi="Helvetica" w:eastAsia="Calibri" w:cstheme="minorHAnsi"/>
          <w:b/>
          <w:sz w:val="20"/>
          <w:szCs w:val="20"/>
          <w:lang w:val="en-GB"/>
        </w:rPr>
        <w:t>Emma Fagan</w:t>
      </w:r>
      <w:r w:rsidRPr="00934E4F">
        <w:rPr>
          <w:rStyle w:val="eop"/>
          <w:rFonts w:ascii="Helvetica" w:hAnsi="Helvetica" w:cstheme="minorHAnsi"/>
          <w:b/>
          <w:sz w:val="20"/>
          <w:szCs w:val="20"/>
        </w:rPr>
        <w:t> </w:t>
      </w:r>
    </w:p>
    <w:p w:rsidRPr="00606760" w:rsidR="0062104B" w:rsidP="0062104B" w:rsidRDefault="0062104B" w14:paraId="784D472F" w14:textId="77777777">
      <w:pPr>
        <w:pStyle w:val="paragraph"/>
        <w:spacing w:before="0" w:beforeAutospacing="0" w:after="0" w:afterAutospacing="0"/>
        <w:jc w:val="both"/>
        <w:textAlignment w:val="baseline"/>
        <w:rPr>
          <w:rFonts w:ascii="Arial" w:hAnsi="Arial" w:cs="Arial"/>
          <w:sz w:val="20"/>
        </w:rPr>
      </w:pPr>
      <w:r w:rsidRPr="00934E4F">
        <w:rPr>
          <w:rStyle w:val="normaltextrun"/>
          <w:rFonts w:ascii="Helvetica" w:hAnsi="Helvetica" w:eastAsia="Calibri" w:cstheme="minorHAnsi"/>
          <w:sz w:val="20"/>
          <w:szCs w:val="20"/>
          <w:lang w:val="en-GB"/>
        </w:rPr>
        <w:t>Head of Energy Policy and Regulation</w:t>
      </w:r>
    </w:p>
    <w:p w:rsidRPr="00A42F12" w:rsidR="00A42F12" w:rsidP="00663D71" w:rsidRDefault="00A42F12" w14:paraId="53A77A87" w14:textId="004D32F5">
      <w:pPr>
        <w:rPr>
          <w:rStyle w:val="l11"/>
          <w:rFonts w:ascii="Arial" w:hAnsi="Arial" w:cs="Arial"/>
          <w:color w:val="000000"/>
          <w:sz w:val="20"/>
          <w:bdr w:val="none" w:color="auto" w:sz="0" w:space="0" w:frame="1"/>
          <w:shd w:val="clear" w:color="auto" w:fill="FFFFFF"/>
        </w:rPr>
      </w:pPr>
      <w:bookmarkStart w:name="_GoBack" w:id="0"/>
      <w:bookmarkEnd w:id="0"/>
    </w:p>
    <w:p w:rsidR="00DD6E67" w:rsidRDefault="00DD6E67" w14:paraId="0E3A0B81" w14:textId="35F581B6">
      <w:pPr>
        <w:rPr>
          <w:rFonts w:ascii="Arial" w:hAnsi="Arial" w:cs="Arial"/>
          <w:b/>
          <w:sz w:val="20"/>
          <w:szCs w:val="20"/>
        </w:rPr>
      </w:pPr>
      <w:r>
        <w:rPr>
          <w:rFonts w:ascii="Arial" w:hAnsi="Arial" w:cs="Arial"/>
          <w:b/>
          <w:sz w:val="20"/>
          <w:szCs w:val="20"/>
        </w:rPr>
        <w:br w:type="page"/>
      </w:r>
    </w:p>
    <w:p w:rsidR="00DD6E67" w:rsidP="00995B1C" w:rsidRDefault="00F64F97" w14:paraId="3E8DEED5" w14:textId="4F4EBBAF">
      <w:pPr>
        <w:rPr>
          <w:rFonts w:ascii="Arial" w:hAnsi="Arial" w:cs="Arial"/>
          <w:b/>
          <w:sz w:val="20"/>
          <w:szCs w:val="20"/>
        </w:rPr>
      </w:pPr>
      <w:r>
        <w:rPr>
          <w:rFonts w:ascii="Arial" w:hAnsi="Arial" w:cs="Arial"/>
          <w:b/>
          <w:sz w:val="20"/>
          <w:szCs w:val="20"/>
        </w:rPr>
        <w:lastRenderedPageBreak/>
        <w:t>Answers to specific consultation questions:</w:t>
      </w:r>
    </w:p>
    <w:p w:rsidR="00F64F97" w:rsidP="00995B1C" w:rsidRDefault="00F64F97" w14:paraId="1A8305DD" w14:textId="1B4603A7">
      <w:pPr>
        <w:rPr>
          <w:rFonts w:ascii="Arial" w:hAnsi="Arial" w:cs="Arial"/>
          <w:b/>
          <w:sz w:val="20"/>
          <w:szCs w:val="20"/>
        </w:rPr>
      </w:pPr>
    </w:p>
    <w:p w:rsidR="00F64F97" w:rsidP="00232A39" w:rsidRDefault="00F64F97" w14:paraId="6806E9F1" w14:textId="21C93827">
      <w:pPr>
        <w:pStyle w:val="ListParagraph"/>
        <w:numPr>
          <w:ilvl w:val="0"/>
          <w:numId w:val="9"/>
        </w:numPr>
        <w:rPr>
          <w:rFonts w:ascii="Arial" w:hAnsi="Arial" w:cs="Arial"/>
          <w:b/>
          <w:sz w:val="20"/>
          <w:szCs w:val="20"/>
        </w:rPr>
      </w:pPr>
      <w:r w:rsidRPr="00F64F97">
        <w:rPr>
          <w:rFonts w:ascii="Arial" w:hAnsi="Arial" w:cs="Arial"/>
          <w:b/>
          <w:sz w:val="20"/>
          <w:szCs w:val="20"/>
        </w:rPr>
        <w:t>Do you support the proposal to establish a DER Standards Governance Committee under the National Electricity Rules? If not, what alternative would you suggest?</w:t>
      </w:r>
    </w:p>
    <w:p w:rsidR="00F64F97" w:rsidP="00F64F97" w:rsidRDefault="00F64F97" w14:paraId="3F7BF733" w14:textId="000C9B39">
      <w:pPr>
        <w:rPr>
          <w:rStyle w:val="l11"/>
          <w:rFonts w:ascii="Arial" w:hAnsi="Arial" w:cs="Arial"/>
          <w:color w:val="000000"/>
          <w:sz w:val="20"/>
          <w:bdr w:val="none" w:color="auto" w:sz="0" w:space="0" w:frame="1"/>
          <w:shd w:val="clear" w:color="auto" w:fill="FFFFFF"/>
        </w:rPr>
      </w:pPr>
      <w:r w:rsidRPr="00F64F97">
        <w:rPr>
          <w:rStyle w:val="l11"/>
          <w:rFonts w:ascii="Arial" w:hAnsi="Arial" w:cs="Arial"/>
          <w:color w:val="000000"/>
          <w:sz w:val="20"/>
          <w:bdr w:val="none" w:color="auto" w:sz="0" w:space="0" w:frame="1"/>
          <w:shd w:val="clear" w:color="auto" w:fill="FFFFFF"/>
        </w:rPr>
        <w:t>Tesla supports the proposal</w:t>
      </w:r>
      <w:r>
        <w:rPr>
          <w:rStyle w:val="l11"/>
          <w:rFonts w:ascii="Arial" w:hAnsi="Arial" w:cs="Arial"/>
          <w:color w:val="000000"/>
          <w:sz w:val="20"/>
          <w:bdr w:val="none" w:color="auto" w:sz="0" w:space="0" w:frame="1"/>
          <w:shd w:val="clear" w:color="auto" w:fill="FFFFFF"/>
        </w:rPr>
        <w:t xml:space="preserve"> to establish a DER Standards Governance Committee. As noted in the body of our submission above, there is a clear need for reform of this area at the moment.</w:t>
      </w:r>
    </w:p>
    <w:p w:rsidR="00F64F97" w:rsidP="00F64F97" w:rsidRDefault="00F64F97" w14:paraId="7EAB8829" w14:textId="30780974">
      <w:pPr>
        <w:rPr>
          <w:rStyle w:val="l11"/>
          <w:rFonts w:ascii="Arial" w:hAnsi="Arial" w:cs="Arial"/>
          <w:color w:val="000000"/>
          <w:sz w:val="20"/>
          <w:bdr w:val="none" w:color="auto" w:sz="0" w:space="0" w:frame="1"/>
          <w:shd w:val="clear" w:color="auto" w:fill="FFFFFF"/>
        </w:rPr>
      </w:pPr>
    </w:p>
    <w:p w:rsidR="00F64F97" w:rsidP="00232A39" w:rsidRDefault="00F64F97" w14:paraId="080F6509" w14:textId="733EF654">
      <w:pPr>
        <w:pStyle w:val="ListParagraph"/>
        <w:numPr>
          <w:ilvl w:val="0"/>
          <w:numId w:val="9"/>
        </w:numPr>
        <w:rPr>
          <w:rFonts w:ascii="Arial" w:hAnsi="Arial" w:cs="Arial"/>
          <w:b/>
          <w:sz w:val="20"/>
          <w:szCs w:val="20"/>
        </w:rPr>
      </w:pPr>
      <w:r w:rsidRPr="00F64F97">
        <w:rPr>
          <w:rFonts w:ascii="Arial" w:hAnsi="Arial" w:cs="Arial"/>
          <w:b/>
          <w:sz w:val="20"/>
          <w:szCs w:val="20"/>
        </w:rPr>
        <w:t>Do you support the DER Standards Governance Committee being advisory or be determining? Please provide reasons.</w:t>
      </w:r>
    </w:p>
    <w:p w:rsidR="00F64F97" w:rsidP="00F64F97" w:rsidRDefault="00F64F97" w14:paraId="517CD745" w14:textId="6F4EE3C4">
      <w:pPr>
        <w:rPr>
          <w:rFonts w:ascii="Arial" w:hAnsi="Arial" w:cs="Arial"/>
          <w:sz w:val="20"/>
          <w:szCs w:val="20"/>
        </w:rPr>
      </w:pPr>
      <w:r>
        <w:rPr>
          <w:rFonts w:ascii="Arial" w:hAnsi="Arial" w:cs="Arial"/>
          <w:sz w:val="20"/>
          <w:szCs w:val="20"/>
        </w:rPr>
        <w:t>Tesla supports the body being determining. If it does not have determining power then there is a risk of delay or overlapping processes. I.e. if the committee is advisory only and it is expected that their advice is provided to the relevant regulatory bodies, and those bodies subsequently go through their own processes, this will create inefficiencies.</w:t>
      </w:r>
    </w:p>
    <w:p w:rsidR="00853378" w:rsidP="00F64F97" w:rsidRDefault="00853378" w14:paraId="4084CD1D" w14:textId="17B7C8F4">
      <w:pPr>
        <w:rPr>
          <w:rFonts w:ascii="Arial" w:hAnsi="Arial" w:cs="Arial"/>
          <w:sz w:val="20"/>
          <w:szCs w:val="20"/>
        </w:rPr>
      </w:pPr>
    </w:p>
    <w:p w:rsidR="009163B6" w:rsidP="00232A39" w:rsidRDefault="009163B6" w14:paraId="1617272C" w14:textId="7A161ACC">
      <w:pPr>
        <w:pStyle w:val="ListParagraph"/>
        <w:numPr>
          <w:ilvl w:val="0"/>
          <w:numId w:val="9"/>
        </w:numPr>
        <w:rPr>
          <w:rFonts w:ascii="Arial" w:hAnsi="Arial" w:cs="Arial"/>
          <w:b/>
          <w:sz w:val="20"/>
          <w:szCs w:val="20"/>
        </w:rPr>
      </w:pPr>
      <w:r w:rsidRPr="009163B6">
        <w:rPr>
          <w:rFonts w:ascii="Arial" w:hAnsi="Arial" w:cs="Arial"/>
          <w:b/>
          <w:sz w:val="20"/>
          <w:szCs w:val="20"/>
        </w:rPr>
        <w:t>Do you have any feedback on the proposed functions of the DER Standards Governance Committee?</w:t>
      </w:r>
    </w:p>
    <w:p w:rsidR="009163B6" w:rsidP="009163B6" w:rsidRDefault="009163B6" w14:paraId="3D0F0FED" w14:textId="74B5EA2F">
      <w:pPr>
        <w:rPr>
          <w:rFonts w:ascii="Arial" w:hAnsi="Arial" w:cs="Arial"/>
          <w:sz w:val="20"/>
          <w:szCs w:val="20"/>
        </w:rPr>
      </w:pPr>
      <w:r>
        <w:rPr>
          <w:rFonts w:ascii="Arial" w:hAnsi="Arial" w:cs="Arial"/>
          <w:sz w:val="20"/>
          <w:szCs w:val="20"/>
        </w:rPr>
        <w:t>As per comments in the body of the response above.</w:t>
      </w:r>
    </w:p>
    <w:p w:rsidRPr="009163B6" w:rsidR="0095542D" w:rsidP="009163B6" w:rsidRDefault="0095542D" w14:paraId="01E5F142" w14:textId="77777777">
      <w:pPr>
        <w:rPr>
          <w:rFonts w:ascii="Arial" w:hAnsi="Arial" w:cs="Arial"/>
          <w:sz w:val="20"/>
          <w:szCs w:val="20"/>
        </w:rPr>
      </w:pPr>
    </w:p>
    <w:p w:rsidR="009163B6" w:rsidP="00232A39" w:rsidRDefault="009163B6" w14:paraId="2B00E78A" w14:textId="5B94485A">
      <w:pPr>
        <w:pStyle w:val="ListParagraph"/>
        <w:numPr>
          <w:ilvl w:val="0"/>
          <w:numId w:val="9"/>
        </w:numPr>
        <w:rPr>
          <w:rFonts w:ascii="Arial" w:hAnsi="Arial" w:cs="Arial"/>
          <w:b/>
          <w:sz w:val="20"/>
          <w:szCs w:val="20"/>
        </w:rPr>
      </w:pPr>
      <w:r w:rsidRPr="009163B6">
        <w:rPr>
          <w:rFonts w:ascii="Arial" w:hAnsi="Arial" w:cs="Arial"/>
          <w:b/>
          <w:sz w:val="20"/>
          <w:szCs w:val="20"/>
        </w:rPr>
        <w:t xml:space="preserve">Do you have any feedback about the Committee determining standards in a subsidiary instrument under the rules? </w:t>
      </w:r>
    </w:p>
    <w:p w:rsidR="009163B6" w:rsidP="009163B6" w:rsidRDefault="00193F74" w14:paraId="62A88F04" w14:textId="6B11AF99">
      <w:pPr>
        <w:rPr>
          <w:rFonts w:ascii="Arial" w:hAnsi="Arial" w:cs="Arial"/>
          <w:sz w:val="20"/>
          <w:szCs w:val="20"/>
        </w:rPr>
      </w:pPr>
      <w:r>
        <w:rPr>
          <w:rFonts w:ascii="Arial" w:hAnsi="Arial" w:cs="Arial"/>
          <w:sz w:val="20"/>
          <w:szCs w:val="20"/>
        </w:rPr>
        <w:t>Whichever instrument is used, it is critical that there is appropriate transparency and appropriate periods for industry to be consulted.</w:t>
      </w:r>
    </w:p>
    <w:p w:rsidRPr="009163B6" w:rsidR="009163B6" w:rsidP="009163B6" w:rsidRDefault="009163B6" w14:paraId="39C79A24" w14:textId="77777777">
      <w:pPr>
        <w:rPr>
          <w:rFonts w:ascii="Arial" w:hAnsi="Arial" w:cs="Arial"/>
          <w:sz w:val="20"/>
          <w:szCs w:val="20"/>
        </w:rPr>
      </w:pPr>
    </w:p>
    <w:p w:rsidR="009163B6" w:rsidP="00232A39" w:rsidRDefault="009163B6" w14:paraId="609AD982" w14:textId="233333A7">
      <w:pPr>
        <w:pStyle w:val="ListParagraph"/>
        <w:numPr>
          <w:ilvl w:val="0"/>
          <w:numId w:val="9"/>
        </w:numPr>
        <w:rPr>
          <w:rFonts w:ascii="Arial" w:hAnsi="Arial" w:cs="Arial"/>
          <w:b/>
          <w:sz w:val="20"/>
          <w:szCs w:val="20"/>
        </w:rPr>
      </w:pPr>
      <w:r w:rsidRPr="009163B6">
        <w:rPr>
          <w:rFonts w:ascii="Arial" w:hAnsi="Arial" w:cs="Arial"/>
          <w:b/>
          <w:sz w:val="20"/>
          <w:szCs w:val="20"/>
        </w:rPr>
        <w:t>Do you have any feedback on the development of new compliance and enforcement arrangements for DER technical standards?</w:t>
      </w:r>
    </w:p>
    <w:p w:rsidR="00557F78" w:rsidP="009163B6" w:rsidRDefault="009163B6" w14:paraId="31203498" w14:textId="209FE5DE">
      <w:pPr>
        <w:rPr>
          <w:rFonts w:ascii="Arial" w:hAnsi="Arial" w:cs="Arial"/>
          <w:sz w:val="20"/>
          <w:szCs w:val="20"/>
        </w:rPr>
      </w:pPr>
      <w:r w:rsidRPr="009163B6">
        <w:rPr>
          <w:rFonts w:ascii="Arial" w:hAnsi="Arial" w:cs="Arial"/>
          <w:sz w:val="20"/>
          <w:szCs w:val="20"/>
        </w:rPr>
        <w:t>As per comments in the body of the response above.</w:t>
      </w:r>
    </w:p>
    <w:p w:rsidR="009163B6" w:rsidP="009163B6" w:rsidRDefault="009163B6" w14:paraId="314245BF" w14:textId="0A8B60EA">
      <w:pPr>
        <w:rPr>
          <w:rFonts w:ascii="Arial" w:hAnsi="Arial" w:cs="Arial"/>
          <w:sz w:val="20"/>
          <w:szCs w:val="20"/>
        </w:rPr>
      </w:pPr>
    </w:p>
    <w:p w:rsidR="009163B6" w:rsidP="00232A39" w:rsidRDefault="009163B6" w14:paraId="2011B6FE" w14:textId="119A3AC9">
      <w:pPr>
        <w:pStyle w:val="ListParagraph"/>
        <w:numPr>
          <w:ilvl w:val="0"/>
          <w:numId w:val="9"/>
        </w:numPr>
        <w:rPr>
          <w:rFonts w:ascii="Arial" w:hAnsi="Arial" w:cs="Arial"/>
          <w:b/>
          <w:sz w:val="20"/>
          <w:szCs w:val="20"/>
        </w:rPr>
      </w:pPr>
      <w:r w:rsidRPr="009163B6">
        <w:rPr>
          <w:rFonts w:ascii="Arial" w:hAnsi="Arial" w:cs="Arial"/>
          <w:b/>
          <w:sz w:val="20"/>
          <w:szCs w:val="20"/>
        </w:rPr>
        <w:t>Do you support the proposed composition of the membership and nature of chair of the Committee? Please provide reasons or nominate alternative arrangements.</w:t>
      </w:r>
    </w:p>
    <w:p w:rsidR="009163B6" w:rsidP="009163B6" w:rsidRDefault="009163B6" w14:paraId="64CDFBF2" w14:textId="125EFB9D">
      <w:pPr>
        <w:rPr>
          <w:rFonts w:ascii="Arial" w:hAnsi="Arial" w:cs="Arial"/>
          <w:sz w:val="20"/>
          <w:szCs w:val="20"/>
        </w:rPr>
      </w:pPr>
      <w:r>
        <w:rPr>
          <w:rFonts w:ascii="Arial" w:hAnsi="Arial" w:cs="Arial"/>
          <w:sz w:val="20"/>
          <w:szCs w:val="20"/>
        </w:rPr>
        <w:t>The Committee composition does appear to be skewed to the regulatory bodies with only 2 out of 11 members likely able to accurately represent the DER technology experience (one market aggregator and one DER OEM). We would also make the following comments:</w:t>
      </w:r>
    </w:p>
    <w:p w:rsidRPr="009163B6" w:rsidR="009163B6" w:rsidP="00232A39" w:rsidRDefault="009163B6" w14:paraId="6F0C8004" w14:textId="3FE10F18">
      <w:pPr>
        <w:pStyle w:val="ListParagraph"/>
        <w:numPr>
          <w:ilvl w:val="0"/>
          <w:numId w:val="12"/>
        </w:numPr>
        <w:rPr>
          <w:rFonts w:ascii="Arial" w:hAnsi="Arial" w:cs="Arial"/>
          <w:b/>
          <w:sz w:val="20"/>
          <w:szCs w:val="20"/>
        </w:rPr>
      </w:pPr>
      <w:r>
        <w:rPr>
          <w:rFonts w:ascii="Arial" w:hAnsi="Arial" w:cs="Arial"/>
          <w:sz w:val="20"/>
          <w:szCs w:val="20"/>
        </w:rPr>
        <w:t>The “Market Aggregator” should not be limited to registered participants. There is no classification for VPP operators and many VPPs operating under the AEMO trial are doing so through the customer retailer. Third party VPP aggregators registered with AEMO through this process are not “registered participants” and so would be excluded from committee membership. This is clearly not the intended outcome as these non-registered VPP operators would have far more relevant experience for the committee.</w:t>
      </w:r>
    </w:p>
    <w:p w:rsidRPr="009163B6" w:rsidR="009163B6" w:rsidP="00232A39" w:rsidRDefault="009163B6" w14:paraId="380CE974" w14:textId="29364759">
      <w:pPr>
        <w:pStyle w:val="ListParagraph"/>
        <w:numPr>
          <w:ilvl w:val="0"/>
          <w:numId w:val="12"/>
        </w:numPr>
        <w:rPr>
          <w:rFonts w:ascii="Arial" w:hAnsi="Arial" w:cs="Arial"/>
          <w:b/>
          <w:sz w:val="20"/>
          <w:szCs w:val="20"/>
        </w:rPr>
      </w:pPr>
      <w:r>
        <w:rPr>
          <w:rFonts w:ascii="Arial" w:hAnsi="Arial" w:cs="Arial"/>
          <w:sz w:val="20"/>
          <w:szCs w:val="20"/>
        </w:rPr>
        <w:t xml:space="preserve">It is difficult to see how </w:t>
      </w:r>
      <w:r>
        <w:rPr>
          <w:rFonts w:ascii="Arial" w:hAnsi="Arial" w:cs="Arial"/>
          <w:b/>
          <w:sz w:val="20"/>
          <w:szCs w:val="20"/>
          <w:u w:val="single"/>
        </w:rPr>
        <w:t>one</w:t>
      </w:r>
      <w:r>
        <w:rPr>
          <w:rFonts w:ascii="Arial" w:hAnsi="Arial" w:cs="Arial"/>
          <w:sz w:val="20"/>
          <w:szCs w:val="20"/>
        </w:rPr>
        <w:t xml:space="preserve"> DER OEM can represent the full suite of OEM views when it potentially captures everything from residential solar and storage, through electric vehicles and controllable loads like air-conditioners. The experience of each of these DER technologies will be very different.</w:t>
      </w:r>
    </w:p>
    <w:p w:rsidRPr="0095542D" w:rsidR="009163B6" w:rsidP="00232A39" w:rsidRDefault="009163B6" w14:paraId="225BDEDA" w14:textId="699EEDF7">
      <w:pPr>
        <w:pStyle w:val="ListParagraph"/>
        <w:numPr>
          <w:ilvl w:val="0"/>
          <w:numId w:val="12"/>
        </w:numPr>
        <w:rPr>
          <w:rFonts w:ascii="Arial" w:hAnsi="Arial" w:cs="Arial"/>
          <w:b/>
          <w:sz w:val="20"/>
          <w:szCs w:val="20"/>
        </w:rPr>
      </w:pPr>
      <w:r>
        <w:rPr>
          <w:rFonts w:ascii="Arial" w:hAnsi="Arial" w:cs="Arial"/>
          <w:sz w:val="20"/>
          <w:szCs w:val="20"/>
        </w:rPr>
        <w:lastRenderedPageBreak/>
        <w:t>The consumer expert should be an expert in DER specific consumer issues. The broader customer experience in respect of the electricity sector is already well protected through existing forums.</w:t>
      </w:r>
    </w:p>
    <w:p w:rsidRPr="009163B6" w:rsidR="0095542D" w:rsidP="0095542D" w:rsidRDefault="0095542D" w14:paraId="111BF932" w14:textId="77777777">
      <w:pPr>
        <w:pStyle w:val="ListParagraph"/>
        <w:rPr>
          <w:rFonts w:ascii="Arial" w:hAnsi="Arial" w:cs="Arial"/>
          <w:b/>
          <w:sz w:val="20"/>
          <w:szCs w:val="20"/>
        </w:rPr>
      </w:pPr>
    </w:p>
    <w:p w:rsidR="009163B6" w:rsidP="00232A39" w:rsidRDefault="009163B6" w14:paraId="4CB27EA2" w14:textId="44C7BEBC">
      <w:pPr>
        <w:pStyle w:val="ListParagraph"/>
        <w:numPr>
          <w:ilvl w:val="0"/>
          <w:numId w:val="9"/>
        </w:numPr>
        <w:rPr>
          <w:rFonts w:ascii="Arial" w:hAnsi="Arial" w:cs="Arial"/>
          <w:b/>
          <w:sz w:val="20"/>
          <w:szCs w:val="20"/>
        </w:rPr>
      </w:pPr>
      <w:r w:rsidRPr="009163B6">
        <w:rPr>
          <w:rFonts w:ascii="Arial" w:hAnsi="Arial" w:cs="Arial"/>
          <w:b/>
          <w:sz w:val="20"/>
          <w:szCs w:val="20"/>
        </w:rPr>
        <w:t>Do you support the proposed terms and selection arran</w:t>
      </w:r>
      <w:r>
        <w:rPr>
          <w:rFonts w:ascii="Arial" w:hAnsi="Arial" w:cs="Arial"/>
          <w:b/>
          <w:sz w:val="20"/>
          <w:szCs w:val="20"/>
        </w:rPr>
        <w:t>gements? Please provide reasons?</w:t>
      </w:r>
    </w:p>
    <w:p w:rsidR="009163B6" w:rsidP="009163B6" w:rsidRDefault="009163B6" w14:paraId="3DED1BF2" w14:textId="378AF717">
      <w:pPr>
        <w:rPr>
          <w:rFonts w:ascii="Arial" w:hAnsi="Arial" w:cs="Arial"/>
          <w:sz w:val="20"/>
          <w:szCs w:val="20"/>
        </w:rPr>
      </w:pPr>
      <w:r>
        <w:rPr>
          <w:rFonts w:ascii="Arial" w:hAnsi="Arial" w:cs="Arial"/>
          <w:sz w:val="20"/>
          <w:szCs w:val="20"/>
        </w:rPr>
        <w:t>Tesla supports the proposed terms and selection arrangements proposed.</w:t>
      </w:r>
    </w:p>
    <w:p w:rsidR="009163B6" w:rsidP="009163B6" w:rsidRDefault="009163B6" w14:paraId="6935FE47" w14:textId="457D0F9E">
      <w:pPr>
        <w:rPr>
          <w:rFonts w:ascii="Arial" w:hAnsi="Arial" w:cs="Arial"/>
          <w:sz w:val="20"/>
          <w:szCs w:val="20"/>
        </w:rPr>
      </w:pPr>
    </w:p>
    <w:p w:rsidR="009163B6" w:rsidP="00232A39" w:rsidRDefault="009163B6" w14:paraId="69CD0001" w14:textId="6BF1BEB0">
      <w:pPr>
        <w:pStyle w:val="ListParagraph"/>
        <w:numPr>
          <w:ilvl w:val="0"/>
          <w:numId w:val="9"/>
        </w:numPr>
        <w:rPr>
          <w:rFonts w:ascii="Arial" w:hAnsi="Arial" w:cs="Arial"/>
          <w:b/>
          <w:sz w:val="20"/>
          <w:szCs w:val="20"/>
        </w:rPr>
      </w:pPr>
      <w:r w:rsidRPr="00232A39">
        <w:rPr>
          <w:rFonts w:ascii="Arial" w:hAnsi="Arial" w:cs="Arial"/>
          <w:b/>
          <w:sz w:val="20"/>
          <w:szCs w:val="20"/>
        </w:rPr>
        <w:t>Do you have any feedback on the other elements of the proposed operation of the Committee?</w:t>
      </w:r>
    </w:p>
    <w:p w:rsidRPr="00232A39" w:rsidR="00232A39" w:rsidP="00232A39" w:rsidRDefault="00232A39" w14:paraId="342D695D" w14:textId="124D4281">
      <w:pPr>
        <w:rPr>
          <w:rFonts w:ascii="Arial" w:hAnsi="Arial" w:cs="Arial"/>
          <w:b/>
          <w:sz w:val="20"/>
          <w:szCs w:val="20"/>
        </w:rPr>
      </w:pPr>
      <w:r>
        <w:rPr>
          <w:rFonts w:ascii="Arial" w:hAnsi="Arial" w:cs="Arial"/>
          <w:sz w:val="20"/>
          <w:szCs w:val="20"/>
        </w:rPr>
        <w:t>Our feedback on the other elements of the proposed operation is included in the body of our response above.</w:t>
      </w:r>
    </w:p>
    <w:sectPr w:rsidRPr="00232A39" w:rsidR="00232A39" w:rsidSect="008113E8">
      <w:headerReference w:type="default" r:id="rId13"/>
      <w:footerReference w:type="default" r:id="rId14"/>
      <w:headerReference w:type="first" r:id="rId15"/>
      <w:footerReference w:type="first" r:id="rId16"/>
      <w:pgSz w:w="11906" w:h="16838" w:orient="portrait"/>
      <w:pgMar w:top="1440" w:right="1376" w:bottom="1440" w:left="13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ABE" w:rsidP="00EF5330" w:rsidRDefault="00067ABE" w14:paraId="53C057FF" w14:textId="77777777">
      <w:pPr>
        <w:spacing w:after="0" w:line="240" w:lineRule="auto"/>
      </w:pPr>
      <w:r>
        <w:separator/>
      </w:r>
    </w:p>
  </w:endnote>
  <w:endnote w:type="continuationSeparator" w:id="0">
    <w:p w:rsidR="00067ABE" w:rsidP="00EF5330" w:rsidRDefault="00067ABE" w14:paraId="3EC0BCA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altName w:val="MS PGothic"/>
    <w:charset w:val="80"/>
    <w:family w:val="swiss"/>
    <w:pitch w:val="variable"/>
    <w:sig w:usb0="E10102FF" w:usb1="EAC7FFFF" w:usb2="0001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Helvetica Neue">
    <w:altName w:val="Microsoft YaHei"/>
    <w:panose1 w:val="00000000000000000000"/>
    <w:charset w:val="00"/>
    <w:family w:val="modern"/>
    <w:notTrueType/>
    <w:pitch w:val="variable"/>
    <w:sig w:usb0="8000027F" w:usb1="0000000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Style w:val="TableGrid"/>
      <w:tblW w:w="0" w:type="auto"/>
      <w:tblLook w:val="04A0" w:firstRow="1" w:lastRow="0" w:firstColumn="1" w:lastColumn="0" w:noHBand="0" w:noVBand="1"/>
    </w:tblPr>
    <w:tblGrid>
      <w:gridCol w:w="3156"/>
      <w:gridCol w:w="2922"/>
      <w:gridCol w:w="3102"/>
    </w:tblGrid>
    <w:tr w:rsidR="00067ABE" w:rsidTr="319E123B" w14:paraId="472A672A" w14:textId="77777777">
      <w:trPr>
        <w:trHeight w:val="260"/>
      </w:trPr>
      <w:tc>
        <w:tcPr>
          <w:tcW w:w="3432" w:type="dxa"/>
          <w:tcBorders>
            <w:top w:val="nil"/>
            <w:left w:val="nil"/>
            <w:bottom w:val="nil"/>
            <w:right w:val="nil"/>
          </w:tcBorders>
          <w:tcMar/>
          <w:vAlign w:val="center"/>
        </w:tcPr>
        <w:p w:rsidR="00067ABE" w:rsidP="00D44782" w:rsidRDefault="00067ABE" w14:paraId="7A83FA5D" w14:textId="77777777">
          <w:pPr>
            <w:pStyle w:val="Footer"/>
            <w:rPr>
              <w:sz w:val="18"/>
              <w:szCs w:val="18"/>
            </w:rPr>
          </w:pPr>
          <w:r>
            <w:rPr>
              <w:noProof/>
              <w:lang w:val="en-US" w:eastAsia="en-US"/>
            </w:rPr>
            <w:drawing>
              <wp:anchor distT="0" distB="0" distL="114300" distR="114300" simplePos="0" relativeHeight="251657728" behindDoc="0" locked="0" layoutInCell="1" allowOverlap="0" wp14:anchorId="6026593F" wp14:editId="3A3AB109">
                <wp:simplePos x="0" y="0"/>
                <wp:positionH relativeFrom="column">
                  <wp:posOffset>-55880</wp:posOffset>
                </wp:positionH>
                <wp:positionV relativeFrom="paragraph">
                  <wp:posOffset>28575</wp:posOffset>
                </wp:positionV>
                <wp:extent cx="936625" cy="171450"/>
                <wp:effectExtent l="0" t="0" r="0" b="6350"/>
                <wp:wrapThrough wrapText="bothSides">
                  <wp:wrapPolygon edited="0">
                    <wp:start x="2929" y="0"/>
                    <wp:lineTo x="3515" y="19200"/>
                    <wp:lineTo x="18159" y="19200"/>
                    <wp:lineTo x="18159" y="0"/>
                    <wp:lineTo x="2929" y="0"/>
                  </wp:wrapPolygon>
                </wp:wrapThrough>
                <wp:docPr id="6" name="Picture 6" descr="../../DesignKit_SolarCity/Tesla%20Logos/Primary%20Word%20Mark/Tesla_Primary_Wordmark_Web_CG11.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Kit_SolarCity/Tesla%20Logos/Primary%20Word%20Mark/Tesla_Primary_Wordmark_Web_CG11.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171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319E123B">
            <w:rPr/>
            <w:t/>
          </w:r>
        </w:p>
      </w:tc>
      <w:tc>
        <w:tcPr>
          <w:tcW w:w="3432" w:type="dxa"/>
          <w:tcBorders>
            <w:top w:val="nil"/>
            <w:left w:val="nil"/>
            <w:bottom w:val="nil"/>
            <w:right w:val="nil"/>
          </w:tcBorders>
          <w:tcMar/>
          <w:vAlign w:val="center"/>
        </w:tcPr>
        <w:p w:rsidRPr="0090352E" w:rsidR="00067ABE" w:rsidP="00D44782" w:rsidRDefault="00067ABE" w14:paraId="3428B88C" w14:textId="77777777">
          <w:pPr>
            <w:pStyle w:val="Footer"/>
            <w:jc w:val="center"/>
            <w:rPr>
              <w:rFonts w:ascii="Arial" w:hAnsi="Arial" w:eastAsia="Arial" w:cs="Arial"/>
              <w:i/>
              <w:sz w:val="18"/>
              <w:szCs w:val="18"/>
            </w:rPr>
          </w:pPr>
        </w:p>
      </w:tc>
      <w:tc>
        <w:tcPr>
          <w:tcW w:w="3432" w:type="dxa"/>
          <w:tcBorders>
            <w:top w:val="nil"/>
            <w:left w:val="nil"/>
            <w:bottom w:val="nil"/>
            <w:right w:val="nil"/>
          </w:tcBorders>
          <w:tcMar/>
          <w:vAlign w:val="center"/>
        </w:tcPr>
        <w:p w:rsidRPr="0090352E" w:rsidR="00067ABE" w:rsidP="592DCB13" w:rsidRDefault="00067ABE" w14:paraId="193CA8F4" w14:textId="14FD4B3C">
          <w:pPr>
            <w:pStyle w:val="Footer"/>
            <w:ind w:firstLine="720"/>
            <w:jc w:val="right"/>
            <w:rPr>
              <w:rFonts w:ascii="Arial" w:hAnsi="Arial" w:cs="Arial"/>
              <w:sz w:val="18"/>
              <w:szCs w:val="18"/>
            </w:rPr>
          </w:pPr>
          <w:r w:rsidRPr="592DCB13">
            <w:rPr>
              <w:rFonts w:ascii="Arial" w:hAnsi="Arial" w:eastAsia="Helvetica Neue" w:cs="Arial"/>
              <w:color w:val="7F7F7F" w:themeColor="background1" w:themeShade="7F"/>
              <w:sz w:val="18"/>
              <w:szCs w:val="18"/>
            </w:rPr>
            <w:t xml:space="preserve">Page </w:t>
          </w:r>
          <w:r w:rsidRPr="592DCB13">
            <w:rPr>
              <w:rFonts w:ascii="Arial" w:hAnsi="Arial" w:cs="Arial"/>
              <w:noProof/>
              <w:color w:val="808080" w:themeColor="text1" w:themeTint="7F"/>
              <w:sz w:val="18"/>
              <w:szCs w:val="18"/>
            </w:rPr>
            <w:fldChar w:fldCharType="begin"/>
          </w:r>
          <w:r w:rsidRPr="592DCB13">
            <w:rPr>
              <w:rFonts w:ascii="Arial" w:hAnsi="Arial" w:cs="Arial"/>
              <w:noProof/>
              <w:color w:val="808080" w:themeColor="text1" w:themeTint="7F"/>
              <w:sz w:val="18"/>
              <w:szCs w:val="18"/>
            </w:rPr>
            <w:instrText xml:space="preserve"> PAGE  \* Arabic  \* MERGEFORMAT </w:instrText>
          </w:r>
          <w:r w:rsidRPr="592DCB13">
            <w:rPr>
              <w:rFonts w:ascii="Arial" w:hAnsi="Arial" w:cs="Arial"/>
              <w:noProof/>
              <w:color w:val="808080" w:themeColor="text1" w:themeTint="7F"/>
              <w:sz w:val="18"/>
              <w:szCs w:val="18"/>
            </w:rPr>
            <w:fldChar w:fldCharType="separate"/>
          </w:r>
          <w:r w:rsidR="0062104B">
            <w:rPr>
              <w:rFonts w:ascii="Arial" w:hAnsi="Arial" w:cs="Arial"/>
              <w:noProof/>
              <w:color w:val="808080" w:themeColor="text1" w:themeTint="7F"/>
              <w:sz w:val="18"/>
              <w:szCs w:val="18"/>
            </w:rPr>
            <w:t>4</w:t>
          </w:r>
          <w:r w:rsidRPr="592DCB13">
            <w:rPr>
              <w:rFonts w:ascii="Arial" w:hAnsi="Arial" w:cs="Arial"/>
              <w:noProof/>
              <w:color w:val="808080" w:themeColor="text1" w:themeTint="7F"/>
              <w:sz w:val="18"/>
              <w:szCs w:val="18"/>
            </w:rPr>
            <w:fldChar w:fldCharType="end"/>
          </w:r>
          <w:r w:rsidRPr="592DCB13">
            <w:rPr>
              <w:rFonts w:ascii="Arial" w:hAnsi="Arial" w:eastAsia="Helvetica Neue" w:cs="Arial"/>
              <w:color w:val="7F7F7F" w:themeColor="background1" w:themeShade="7F"/>
              <w:sz w:val="18"/>
              <w:szCs w:val="18"/>
            </w:rPr>
            <w:t xml:space="preserve"> of </w:t>
          </w:r>
          <w:r w:rsidRPr="592DCB13">
            <w:rPr>
              <w:rFonts w:ascii="Arial" w:hAnsi="Arial" w:eastAsia="Helvetica Neue" w:cs="Arial"/>
              <w:noProof/>
              <w:color w:val="808080" w:themeColor="text1" w:themeTint="7F"/>
              <w:sz w:val="18"/>
              <w:szCs w:val="18"/>
            </w:rPr>
            <w:fldChar w:fldCharType="begin"/>
          </w:r>
          <w:r w:rsidRPr="592DCB13">
            <w:rPr>
              <w:rFonts w:ascii="Arial" w:hAnsi="Arial" w:eastAsia="Helvetica Neue" w:cs="Arial"/>
              <w:noProof/>
              <w:color w:val="808080" w:themeColor="text1" w:themeTint="7F"/>
              <w:sz w:val="18"/>
              <w:szCs w:val="18"/>
            </w:rPr>
            <w:instrText xml:space="preserve"> NUMPAGES  \* Arabic  \* MERGEFORMAT </w:instrText>
          </w:r>
          <w:r w:rsidRPr="592DCB13">
            <w:rPr>
              <w:rFonts w:ascii="Arial" w:hAnsi="Arial" w:eastAsia="Helvetica Neue" w:cs="Arial"/>
              <w:noProof/>
              <w:color w:val="808080" w:themeColor="text1" w:themeTint="7F"/>
              <w:sz w:val="18"/>
              <w:szCs w:val="18"/>
            </w:rPr>
            <w:fldChar w:fldCharType="separate"/>
          </w:r>
          <w:r w:rsidR="0062104B">
            <w:rPr>
              <w:rFonts w:ascii="Arial" w:hAnsi="Arial" w:eastAsia="Helvetica Neue" w:cs="Arial"/>
              <w:noProof/>
              <w:color w:val="808080" w:themeColor="text1" w:themeTint="7F"/>
              <w:sz w:val="18"/>
              <w:szCs w:val="18"/>
            </w:rPr>
            <w:t>7</w:t>
          </w:r>
          <w:r w:rsidRPr="592DCB13">
            <w:rPr>
              <w:rFonts w:ascii="Arial" w:hAnsi="Arial" w:eastAsia="Helvetica Neue" w:cs="Arial"/>
              <w:noProof/>
              <w:color w:val="808080" w:themeColor="text1" w:themeTint="7F"/>
              <w:sz w:val="18"/>
              <w:szCs w:val="18"/>
            </w:rPr>
            <w:fldChar w:fldCharType="end"/>
          </w:r>
        </w:p>
      </w:tc>
    </w:tr>
  </w:tbl>
  <w:p w:rsidR="00067ABE" w:rsidRDefault="00067ABE" w14:paraId="40C49DE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Style w:val="TableGrid"/>
      <w:tblW w:w="0" w:type="auto"/>
      <w:tblLook w:val="04A0" w:firstRow="1" w:lastRow="0" w:firstColumn="1" w:lastColumn="0" w:noHBand="0" w:noVBand="1"/>
    </w:tblPr>
    <w:tblGrid>
      <w:gridCol w:w="3156"/>
      <w:gridCol w:w="2922"/>
      <w:gridCol w:w="3102"/>
    </w:tblGrid>
    <w:tr w:rsidR="00067ABE" w:rsidTr="319E123B" w14:paraId="41926A33" w14:textId="77777777">
      <w:trPr>
        <w:trHeight w:val="260"/>
      </w:trPr>
      <w:tc>
        <w:tcPr>
          <w:tcW w:w="3432" w:type="dxa"/>
          <w:tcBorders>
            <w:top w:val="nil"/>
            <w:left w:val="nil"/>
            <w:bottom w:val="nil"/>
            <w:right w:val="nil"/>
          </w:tcBorders>
          <w:tcMar/>
          <w:vAlign w:val="center"/>
        </w:tcPr>
        <w:p w:rsidR="00067ABE" w:rsidP="00AB2FBE" w:rsidRDefault="00067ABE" w14:paraId="4202CE01" w14:textId="77777777">
          <w:pPr>
            <w:pStyle w:val="Footer"/>
            <w:rPr>
              <w:sz w:val="18"/>
              <w:szCs w:val="18"/>
            </w:rPr>
          </w:pPr>
          <w:r>
            <w:rPr>
              <w:noProof/>
              <w:lang w:val="en-US" w:eastAsia="en-US"/>
            </w:rPr>
            <w:drawing>
              <wp:anchor distT="0" distB="0" distL="114300" distR="114300" simplePos="0" relativeHeight="251656704" behindDoc="0" locked="0" layoutInCell="1" allowOverlap="0" wp14:anchorId="1E460913" wp14:editId="7FD6E1C9">
                <wp:simplePos x="0" y="0"/>
                <wp:positionH relativeFrom="column">
                  <wp:posOffset>-55880</wp:posOffset>
                </wp:positionH>
                <wp:positionV relativeFrom="paragraph">
                  <wp:posOffset>28575</wp:posOffset>
                </wp:positionV>
                <wp:extent cx="936625" cy="171450"/>
                <wp:effectExtent l="0" t="0" r="0" b="6350"/>
                <wp:wrapThrough wrapText="bothSides">
                  <wp:wrapPolygon edited="0">
                    <wp:start x="2929" y="0"/>
                    <wp:lineTo x="3515" y="19200"/>
                    <wp:lineTo x="18159" y="19200"/>
                    <wp:lineTo x="18159" y="0"/>
                    <wp:lineTo x="2929" y="0"/>
                  </wp:wrapPolygon>
                </wp:wrapThrough>
                <wp:docPr id="9" name="Picture 9" descr="../../DesignKit_SolarCity/Tesla%20Logos/Primary%20Word%20Mark/Tesla_Primary_Wordmark_Web_CG11.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Kit_SolarCity/Tesla%20Logos/Primary%20Word%20Mark/Tesla_Primary_Wordmark_Web_CG11.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171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319E123B">
            <w:rPr/>
            <w:t/>
          </w:r>
        </w:p>
      </w:tc>
      <w:tc>
        <w:tcPr>
          <w:tcW w:w="3432" w:type="dxa"/>
          <w:tcBorders>
            <w:top w:val="nil"/>
            <w:left w:val="nil"/>
            <w:bottom w:val="nil"/>
            <w:right w:val="nil"/>
          </w:tcBorders>
          <w:tcMar/>
          <w:vAlign w:val="center"/>
        </w:tcPr>
        <w:p w:rsidRPr="0090352E" w:rsidR="00067ABE" w:rsidP="00AB2FBE" w:rsidRDefault="00067ABE" w14:paraId="00A5CF03" w14:textId="77777777">
          <w:pPr>
            <w:pStyle w:val="Footer"/>
            <w:jc w:val="center"/>
            <w:rPr>
              <w:rFonts w:ascii="Arial" w:hAnsi="Arial" w:eastAsia="Arial" w:cs="Arial"/>
              <w:i/>
              <w:sz w:val="18"/>
              <w:szCs w:val="18"/>
            </w:rPr>
          </w:pPr>
        </w:p>
      </w:tc>
      <w:tc>
        <w:tcPr>
          <w:tcW w:w="3432" w:type="dxa"/>
          <w:tcBorders>
            <w:top w:val="nil"/>
            <w:left w:val="nil"/>
            <w:bottom w:val="nil"/>
            <w:right w:val="nil"/>
          </w:tcBorders>
          <w:tcMar/>
          <w:vAlign w:val="center"/>
        </w:tcPr>
        <w:p w:rsidRPr="0090352E" w:rsidR="00067ABE" w:rsidP="592DCB13" w:rsidRDefault="00067ABE" w14:paraId="740366FA" w14:textId="0663A0F3">
          <w:pPr>
            <w:pStyle w:val="Footer"/>
            <w:ind w:firstLine="720"/>
            <w:jc w:val="right"/>
            <w:rPr>
              <w:rFonts w:ascii="Arial" w:hAnsi="Arial" w:cs="Arial"/>
              <w:sz w:val="18"/>
              <w:szCs w:val="18"/>
            </w:rPr>
          </w:pPr>
          <w:r w:rsidRPr="592DCB13">
            <w:rPr>
              <w:rFonts w:ascii="Arial" w:hAnsi="Arial" w:eastAsia="Helvetica Neue" w:cs="Arial"/>
              <w:color w:val="7F7F7F" w:themeColor="background1" w:themeShade="7F"/>
              <w:sz w:val="18"/>
              <w:szCs w:val="18"/>
            </w:rPr>
            <w:t xml:space="preserve">Page </w:t>
          </w:r>
          <w:r w:rsidRPr="592DCB13">
            <w:rPr>
              <w:rFonts w:ascii="Arial" w:hAnsi="Arial" w:cs="Arial"/>
              <w:noProof/>
              <w:color w:val="808080" w:themeColor="text1" w:themeTint="7F"/>
              <w:sz w:val="18"/>
              <w:szCs w:val="18"/>
            </w:rPr>
            <w:fldChar w:fldCharType="begin"/>
          </w:r>
          <w:r w:rsidRPr="592DCB13">
            <w:rPr>
              <w:rFonts w:ascii="Arial" w:hAnsi="Arial" w:cs="Arial"/>
              <w:noProof/>
              <w:color w:val="808080" w:themeColor="text1" w:themeTint="7F"/>
              <w:sz w:val="18"/>
              <w:szCs w:val="18"/>
            </w:rPr>
            <w:instrText xml:space="preserve"> PAGE  \* Arabic  \* MERGEFORMAT </w:instrText>
          </w:r>
          <w:r w:rsidRPr="592DCB13">
            <w:rPr>
              <w:rFonts w:ascii="Arial" w:hAnsi="Arial" w:cs="Arial"/>
              <w:noProof/>
              <w:color w:val="808080" w:themeColor="text1" w:themeTint="7F"/>
              <w:sz w:val="18"/>
              <w:szCs w:val="18"/>
            </w:rPr>
            <w:fldChar w:fldCharType="separate"/>
          </w:r>
          <w:r w:rsidR="0062104B">
            <w:rPr>
              <w:rFonts w:ascii="Arial" w:hAnsi="Arial" w:cs="Arial"/>
              <w:noProof/>
              <w:color w:val="808080" w:themeColor="text1" w:themeTint="7F"/>
              <w:sz w:val="18"/>
              <w:szCs w:val="18"/>
            </w:rPr>
            <w:t>1</w:t>
          </w:r>
          <w:r w:rsidRPr="592DCB13">
            <w:rPr>
              <w:rFonts w:ascii="Arial" w:hAnsi="Arial" w:cs="Arial"/>
              <w:noProof/>
              <w:color w:val="808080" w:themeColor="text1" w:themeTint="7F"/>
              <w:sz w:val="18"/>
              <w:szCs w:val="18"/>
            </w:rPr>
            <w:fldChar w:fldCharType="end"/>
          </w:r>
          <w:r w:rsidRPr="592DCB13">
            <w:rPr>
              <w:rFonts w:ascii="Arial" w:hAnsi="Arial" w:eastAsia="Helvetica Neue" w:cs="Arial"/>
              <w:color w:val="7F7F7F" w:themeColor="background1" w:themeShade="7F"/>
              <w:sz w:val="18"/>
              <w:szCs w:val="18"/>
            </w:rPr>
            <w:t xml:space="preserve"> of </w:t>
          </w:r>
          <w:r w:rsidRPr="592DCB13">
            <w:rPr>
              <w:rFonts w:ascii="Arial" w:hAnsi="Arial" w:eastAsia="Helvetica Neue" w:cs="Arial"/>
              <w:noProof/>
              <w:color w:val="808080" w:themeColor="text1" w:themeTint="7F"/>
              <w:sz w:val="18"/>
              <w:szCs w:val="18"/>
            </w:rPr>
            <w:fldChar w:fldCharType="begin"/>
          </w:r>
          <w:r w:rsidRPr="592DCB13">
            <w:rPr>
              <w:rFonts w:ascii="Arial" w:hAnsi="Arial" w:eastAsia="Helvetica Neue" w:cs="Arial"/>
              <w:noProof/>
              <w:color w:val="808080" w:themeColor="text1" w:themeTint="7F"/>
              <w:sz w:val="18"/>
              <w:szCs w:val="18"/>
            </w:rPr>
            <w:instrText xml:space="preserve"> NUMPAGES  \* Arabic  \* MERGEFORMAT </w:instrText>
          </w:r>
          <w:r w:rsidRPr="592DCB13">
            <w:rPr>
              <w:rFonts w:ascii="Arial" w:hAnsi="Arial" w:eastAsia="Helvetica Neue" w:cs="Arial"/>
              <w:noProof/>
              <w:color w:val="808080" w:themeColor="text1" w:themeTint="7F"/>
              <w:sz w:val="18"/>
              <w:szCs w:val="18"/>
            </w:rPr>
            <w:fldChar w:fldCharType="separate"/>
          </w:r>
          <w:r w:rsidR="0062104B">
            <w:rPr>
              <w:rFonts w:ascii="Arial" w:hAnsi="Arial" w:eastAsia="Helvetica Neue" w:cs="Arial"/>
              <w:noProof/>
              <w:color w:val="808080" w:themeColor="text1" w:themeTint="7F"/>
              <w:sz w:val="18"/>
              <w:szCs w:val="18"/>
            </w:rPr>
            <w:t>7</w:t>
          </w:r>
          <w:r w:rsidRPr="592DCB13">
            <w:rPr>
              <w:rFonts w:ascii="Arial" w:hAnsi="Arial" w:eastAsia="Helvetica Neue" w:cs="Arial"/>
              <w:noProof/>
              <w:color w:val="808080" w:themeColor="text1" w:themeTint="7F"/>
              <w:sz w:val="18"/>
              <w:szCs w:val="18"/>
            </w:rPr>
            <w:fldChar w:fldCharType="end"/>
          </w:r>
        </w:p>
      </w:tc>
    </w:tr>
  </w:tbl>
  <w:p w:rsidR="00067ABE" w:rsidP="00AB2FBE" w:rsidRDefault="00067ABE" w14:paraId="290102C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ABE" w:rsidP="00EF5330" w:rsidRDefault="00067ABE" w14:paraId="2D732FD8" w14:textId="77777777">
      <w:pPr>
        <w:spacing w:after="0" w:line="240" w:lineRule="auto"/>
      </w:pPr>
      <w:r>
        <w:separator/>
      </w:r>
    </w:p>
  </w:footnote>
  <w:footnote w:type="continuationSeparator" w:id="0">
    <w:p w:rsidR="00067ABE" w:rsidP="00EF5330" w:rsidRDefault="00067ABE" w14:paraId="78F65E8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F5330" w:rsidR="00067ABE" w:rsidP="007A06DF" w:rsidRDefault="00067ABE" w14:paraId="63EDEEF2" w14:textId="199C2723">
    <w:pPr>
      <w:pStyle w:val="Header"/>
      <w:pBdr>
        <w:bottom w:val="single" w:color="D9D9D9" w:themeColor="background1" w:themeShade="D9" w:sz="4" w:space="1"/>
      </w:pBdr>
      <w:rPr>
        <w:b/>
        <w:bC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067ABE" w:rsidP="00AB2FBE" w:rsidRDefault="00067ABE" w14:paraId="10CF4163" w14:textId="77777777">
    <w:pPr>
      <w:pStyle w:val="Header"/>
      <w:tabs>
        <w:tab w:val="clear" w:pos="9026"/>
      </w:tabs>
      <w:rPr>
        <w:rFonts w:asciiTheme="majorHAnsi" w:hAnsiTheme="majorHAnsi"/>
        <w:b/>
        <w:color w:val="949594"/>
      </w:rPr>
    </w:pPr>
    <w:r>
      <w:tab/>
    </w:r>
    <w:r>
      <w:rPr>
        <w:noProof/>
        <w:lang w:val="en-US" w:eastAsia="en-US"/>
      </w:rPr>
      <w:drawing>
        <wp:inline distT="0" distB="0" distL="0" distR="0" wp14:anchorId="78A6765D" wp14:editId="2517D4A8">
          <wp:extent cx="908780" cy="752475"/>
          <wp:effectExtent l="0" t="0" r="0" b="0"/>
          <wp:docPr id="8" name="Picture 8" descr="../../DesignKit_SolarCity/Tesla%20Logos/Tesla%20Logo/Tesla_Logo_WebCG11.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Kit_SolarCity/Tesla%20Logos/Tesla%20Logo/Tesla_Logo_WebCG11.ai"/>
                  <pic:cNvPicPr>
                    <a:picLocks noChangeAspect="1" noChangeArrowheads="1"/>
                  </pic:cNvPicPr>
                </pic:nvPicPr>
                <pic:blipFill rotWithShape="1">
                  <a:blip r:embed="rId1">
                    <a:extLst>
                      <a:ext uri="{28A0092B-C50C-407E-A947-70E740481C1C}">
                        <a14:useLocalDpi xmlns:a14="http://schemas.microsoft.com/office/drawing/2010/main" val="0"/>
                      </a:ext>
                    </a:extLst>
                  </a:blip>
                  <a:srcRect t="13959" b="12478"/>
                  <a:stretch/>
                </pic:blipFill>
                <pic:spPr bwMode="auto">
                  <a:xfrm>
                    <a:off x="0" y="0"/>
                    <a:ext cx="957455" cy="79277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70AFA"/>
    <w:multiLevelType w:val="hybridMultilevel"/>
    <w:tmpl w:val="C4DCDAFC"/>
    <w:lvl w:ilvl="0" w:tplc="762AAA3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8D3848"/>
    <w:multiLevelType w:val="hybridMultilevel"/>
    <w:tmpl w:val="E862B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B7B1B"/>
    <w:multiLevelType w:val="hybridMultilevel"/>
    <w:tmpl w:val="F5C08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26F05"/>
    <w:multiLevelType w:val="hybridMultilevel"/>
    <w:tmpl w:val="C08C75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1D7471A"/>
    <w:multiLevelType w:val="hybridMultilevel"/>
    <w:tmpl w:val="E01632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5B75A26"/>
    <w:multiLevelType w:val="multilevel"/>
    <w:tmpl w:val="EF2E47C4"/>
    <w:lvl w:ilvl="0">
      <w:start w:val="1"/>
      <w:numFmt w:val="decimal"/>
      <w:pStyle w:val="Heading2"/>
      <w:lvlText w:val="%1."/>
      <w:lvlJc w:val="left"/>
      <w:pPr>
        <w:ind w:left="714" w:hanging="714"/>
      </w:pPr>
      <w:rPr>
        <w:rFonts w:hint="default"/>
        <w:color w:val="980000" w:themeColor="accent1" w:themeShade="BF"/>
      </w:rPr>
    </w:lvl>
    <w:lvl w:ilvl="1">
      <w:start w:val="1"/>
      <w:numFmt w:val="decimal"/>
      <w:pStyle w:val="Heading3"/>
      <w:lvlText w:val="%1.%2."/>
      <w:lvlJc w:val="left"/>
      <w:pPr>
        <w:ind w:left="998" w:hanging="714"/>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2001" w:hanging="714"/>
      </w:pPr>
      <w:rPr>
        <w:rFonts w:hint="default"/>
      </w:rPr>
    </w:lvl>
    <w:lvl w:ilvl="3">
      <w:start w:val="1"/>
      <w:numFmt w:val="decimal"/>
      <w:pStyle w:val="Heading5"/>
      <w:lvlText w:val="%1.%2.%3.%4."/>
      <w:lvlJc w:val="left"/>
      <w:pPr>
        <w:ind w:left="2715" w:hanging="71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429" w:hanging="714"/>
      </w:pPr>
      <w:rPr>
        <w:rFonts w:hint="default"/>
      </w:rPr>
    </w:lvl>
    <w:lvl w:ilvl="5">
      <w:start w:val="1"/>
      <w:numFmt w:val="decimal"/>
      <w:lvlText w:val="%1.%2.%3.%4.%5.%6."/>
      <w:lvlJc w:val="left"/>
      <w:pPr>
        <w:ind w:left="4143" w:hanging="714"/>
      </w:pPr>
      <w:rPr>
        <w:rFonts w:hint="default"/>
      </w:rPr>
    </w:lvl>
    <w:lvl w:ilvl="6">
      <w:start w:val="1"/>
      <w:numFmt w:val="decimal"/>
      <w:lvlText w:val="%1.%2.%3.%4.%5.%6.%7."/>
      <w:lvlJc w:val="left"/>
      <w:pPr>
        <w:ind w:left="4857" w:hanging="714"/>
      </w:pPr>
      <w:rPr>
        <w:rFonts w:hint="default"/>
      </w:rPr>
    </w:lvl>
    <w:lvl w:ilvl="7">
      <w:start w:val="1"/>
      <w:numFmt w:val="decimal"/>
      <w:lvlText w:val="%1.%2.%3.%4.%5.%6.%7.%8."/>
      <w:lvlJc w:val="left"/>
      <w:pPr>
        <w:ind w:left="5571" w:hanging="714"/>
      </w:pPr>
      <w:rPr>
        <w:rFonts w:hint="default"/>
      </w:rPr>
    </w:lvl>
    <w:lvl w:ilvl="8">
      <w:start w:val="1"/>
      <w:numFmt w:val="decimal"/>
      <w:lvlText w:val="%1.%2.%3.%4.%5.%6.%7.%8.%9."/>
      <w:lvlJc w:val="left"/>
      <w:pPr>
        <w:ind w:left="6285" w:hanging="714"/>
      </w:pPr>
      <w:rPr>
        <w:rFonts w:hint="default"/>
      </w:rPr>
    </w:lvl>
  </w:abstractNum>
  <w:abstractNum w:abstractNumId="6" w15:restartNumberingAfterBreak="0">
    <w:nsid w:val="3BA142EA"/>
    <w:multiLevelType w:val="hybridMultilevel"/>
    <w:tmpl w:val="B50AC6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8FA1281"/>
    <w:multiLevelType w:val="hybridMultilevel"/>
    <w:tmpl w:val="05CE30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70054C6F"/>
    <w:multiLevelType w:val="hybridMultilevel"/>
    <w:tmpl w:val="E1681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923447"/>
    <w:multiLevelType w:val="hybridMultilevel"/>
    <w:tmpl w:val="B38698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AAE32EA"/>
    <w:multiLevelType w:val="hybridMultilevel"/>
    <w:tmpl w:val="03D444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E4A2943"/>
    <w:multiLevelType w:val="hybridMultilevel"/>
    <w:tmpl w:val="38BE28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5"/>
  </w:num>
  <w:num w:numId="2">
    <w:abstractNumId w:val="11"/>
  </w:num>
  <w:num w:numId="3">
    <w:abstractNumId w:val="1"/>
  </w:num>
  <w:num w:numId="4">
    <w:abstractNumId w:val="0"/>
  </w:num>
  <w:num w:numId="5">
    <w:abstractNumId w:val="9"/>
  </w:num>
  <w:num w:numId="6">
    <w:abstractNumId w:val="3"/>
  </w:num>
  <w:num w:numId="7">
    <w:abstractNumId w:val="2"/>
  </w:num>
  <w:num w:numId="8">
    <w:abstractNumId w:val="10"/>
  </w:num>
  <w:num w:numId="9">
    <w:abstractNumId w:val="8"/>
  </w:num>
  <w:num w:numId="10">
    <w:abstractNumId w:val="6"/>
  </w:num>
  <w:num w:numId="11">
    <w:abstractNumId w:val="7"/>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00"/>
  <w:activeWritingStyle w:lang="it-IT" w:vendorID="64" w:dllVersion="131078" w:nlCheck="1" w:checkStyle="0" w:appName="MSWord"/>
  <w:activeWritingStyle w:lang="en-GB" w:vendorID="64" w:dllVersion="131078" w:nlCheck="1" w:checkStyle="1" w:appName="MSWord"/>
  <w:activeWritingStyle w:lang="en-AU" w:vendorID="64" w:dllVersion="131078" w:nlCheck="1" w:checkStyle="1" w:appName="MSWord"/>
  <w:activeWritingStyle w:lang="en-US" w:vendorID="64" w:dllVersion="131078" w:nlCheck="1" w:checkStyle="1" w:appName="MSWord"/>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30"/>
    <w:rsid w:val="00000E02"/>
    <w:rsid w:val="00001B22"/>
    <w:rsid w:val="00003737"/>
    <w:rsid w:val="00010CFA"/>
    <w:rsid w:val="0001184B"/>
    <w:rsid w:val="00015BB1"/>
    <w:rsid w:val="00020DEF"/>
    <w:rsid w:val="00022C74"/>
    <w:rsid w:val="0002541A"/>
    <w:rsid w:val="00026B64"/>
    <w:rsid w:val="000307A3"/>
    <w:rsid w:val="00030B0B"/>
    <w:rsid w:val="00031004"/>
    <w:rsid w:val="00032743"/>
    <w:rsid w:val="00032DBD"/>
    <w:rsid w:val="00035F55"/>
    <w:rsid w:val="0004174E"/>
    <w:rsid w:val="00043B68"/>
    <w:rsid w:val="000468EC"/>
    <w:rsid w:val="00046EF1"/>
    <w:rsid w:val="00047ADD"/>
    <w:rsid w:val="00050314"/>
    <w:rsid w:val="00050FF8"/>
    <w:rsid w:val="00053AB3"/>
    <w:rsid w:val="000541E2"/>
    <w:rsid w:val="00054D8B"/>
    <w:rsid w:val="00061EA6"/>
    <w:rsid w:val="00064354"/>
    <w:rsid w:val="00065574"/>
    <w:rsid w:val="00065AF7"/>
    <w:rsid w:val="00067ABE"/>
    <w:rsid w:val="00070E25"/>
    <w:rsid w:val="0007328E"/>
    <w:rsid w:val="00076691"/>
    <w:rsid w:val="00077C2A"/>
    <w:rsid w:val="000A4B53"/>
    <w:rsid w:val="000A7BB3"/>
    <w:rsid w:val="000B21B0"/>
    <w:rsid w:val="000B3E6F"/>
    <w:rsid w:val="000B40E2"/>
    <w:rsid w:val="000C008C"/>
    <w:rsid w:val="000C13C0"/>
    <w:rsid w:val="000D2A8A"/>
    <w:rsid w:val="000D2CE2"/>
    <w:rsid w:val="000D58F0"/>
    <w:rsid w:val="000D637B"/>
    <w:rsid w:val="000E007F"/>
    <w:rsid w:val="000E02F7"/>
    <w:rsid w:val="000E096F"/>
    <w:rsid w:val="000E1268"/>
    <w:rsid w:val="000E487C"/>
    <w:rsid w:val="000E4C71"/>
    <w:rsid w:val="000E4EDA"/>
    <w:rsid w:val="000E7614"/>
    <w:rsid w:val="000F12D1"/>
    <w:rsid w:val="000F49AE"/>
    <w:rsid w:val="000F752A"/>
    <w:rsid w:val="00100F9B"/>
    <w:rsid w:val="00102B58"/>
    <w:rsid w:val="00102F97"/>
    <w:rsid w:val="001064EE"/>
    <w:rsid w:val="00106C99"/>
    <w:rsid w:val="00107BA2"/>
    <w:rsid w:val="00114097"/>
    <w:rsid w:val="00114C79"/>
    <w:rsid w:val="00115C74"/>
    <w:rsid w:val="00127666"/>
    <w:rsid w:val="00127A90"/>
    <w:rsid w:val="001303ED"/>
    <w:rsid w:val="0013349D"/>
    <w:rsid w:val="0013525E"/>
    <w:rsid w:val="00137348"/>
    <w:rsid w:val="001408A4"/>
    <w:rsid w:val="001425FA"/>
    <w:rsid w:val="00142A1F"/>
    <w:rsid w:val="00150C11"/>
    <w:rsid w:val="00153225"/>
    <w:rsid w:val="00154687"/>
    <w:rsid w:val="0015539A"/>
    <w:rsid w:val="00163C20"/>
    <w:rsid w:val="00166098"/>
    <w:rsid w:val="00166DA0"/>
    <w:rsid w:val="00167B7A"/>
    <w:rsid w:val="00173B7C"/>
    <w:rsid w:val="00174D84"/>
    <w:rsid w:val="00177E5C"/>
    <w:rsid w:val="001809DD"/>
    <w:rsid w:val="00186031"/>
    <w:rsid w:val="00192F57"/>
    <w:rsid w:val="00193EA7"/>
    <w:rsid w:val="00193F74"/>
    <w:rsid w:val="001A0730"/>
    <w:rsid w:val="001A3591"/>
    <w:rsid w:val="001A455B"/>
    <w:rsid w:val="001A58A8"/>
    <w:rsid w:val="001A5F44"/>
    <w:rsid w:val="001A7858"/>
    <w:rsid w:val="001B0990"/>
    <w:rsid w:val="001B55FC"/>
    <w:rsid w:val="001B673C"/>
    <w:rsid w:val="001B7E20"/>
    <w:rsid w:val="001C2201"/>
    <w:rsid w:val="001D22E3"/>
    <w:rsid w:val="001D651C"/>
    <w:rsid w:val="001E0252"/>
    <w:rsid w:val="001E09D4"/>
    <w:rsid w:val="001F30E6"/>
    <w:rsid w:val="001F426D"/>
    <w:rsid w:val="001F4D3C"/>
    <w:rsid w:val="001F5B1E"/>
    <w:rsid w:val="001F7381"/>
    <w:rsid w:val="001F78D9"/>
    <w:rsid w:val="002003AD"/>
    <w:rsid w:val="0021152C"/>
    <w:rsid w:val="002235C3"/>
    <w:rsid w:val="00232A39"/>
    <w:rsid w:val="00234944"/>
    <w:rsid w:val="00236850"/>
    <w:rsid w:val="00251744"/>
    <w:rsid w:val="00260F75"/>
    <w:rsid w:val="00264D9D"/>
    <w:rsid w:val="00272363"/>
    <w:rsid w:val="0027658F"/>
    <w:rsid w:val="00280E2F"/>
    <w:rsid w:val="00282BC6"/>
    <w:rsid w:val="002914B7"/>
    <w:rsid w:val="00292BD5"/>
    <w:rsid w:val="002943AC"/>
    <w:rsid w:val="002A0B5A"/>
    <w:rsid w:val="002A0D49"/>
    <w:rsid w:val="002A4072"/>
    <w:rsid w:val="002A4396"/>
    <w:rsid w:val="002A758B"/>
    <w:rsid w:val="002B1CD6"/>
    <w:rsid w:val="002C2C0D"/>
    <w:rsid w:val="002C3B36"/>
    <w:rsid w:val="002D01F3"/>
    <w:rsid w:val="002E3DEB"/>
    <w:rsid w:val="002F0877"/>
    <w:rsid w:val="002F5D7B"/>
    <w:rsid w:val="003077B4"/>
    <w:rsid w:val="00310CCD"/>
    <w:rsid w:val="00311F84"/>
    <w:rsid w:val="00312C37"/>
    <w:rsid w:val="003203AB"/>
    <w:rsid w:val="00320D0E"/>
    <w:rsid w:val="00330F98"/>
    <w:rsid w:val="003310B1"/>
    <w:rsid w:val="00336C60"/>
    <w:rsid w:val="00337DD2"/>
    <w:rsid w:val="00340C56"/>
    <w:rsid w:val="00346268"/>
    <w:rsid w:val="00355F39"/>
    <w:rsid w:val="003569A5"/>
    <w:rsid w:val="00360125"/>
    <w:rsid w:val="003621AA"/>
    <w:rsid w:val="00370737"/>
    <w:rsid w:val="00370B9D"/>
    <w:rsid w:val="00371A28"/>
    <w:rsid w:val="00372299"/>
    <w:rsid w:val="00372D32"/>
    <w:rsid w:val="00373A89"/>
    <w:rsid w:val="003829B6"/>
    <w:rsid w:val="0038410F"/>
    <w:rsid w:val="00384AD5"/>
    <w:rsid w:val="00387438"/>
    <w:rsid w:val="00391226"/>
    <w:rsid w:val="00392ECD"/>
    <w:rsid w:val="003931A2"/>
    <w:rsid w:val="00394DA1"/>
    <w:rsid w:val="003A0A6A"/>
    <w:rsid w:val="003A5E61"/>
    <w:rsid w:val="003A73B6"/>
    <w:rsid w:val="003A752E"/>
    <w:rsid w:val="003B00C8"/>
    <w:rsid w:val="003B3560"/>
    <w:rsid w:val="003B7528"/>
    <w:rsid w:val="003C48F7"/>
    <w:rsid w:val="003D0B6D"/>
    <w:rsid w:val="003D45F9"/>
    <w:rsid w:val="003D5514"/>
    <w:rsid w:val="003D7729"/>
    <w:rsid w:val="003E49FB"/>
    <w:rsid w:val="003E5044"/>
    <w:rsid w:val="003F15C5"/>
    <w:rsid w:val="003F4062"/>
    <w:rsid w:val="004008F3"/>
    <w:rsid w:val="00406843"/>
    <w:rsid w:val="00406E03"/>
    <w:rsid w:val="00412C49"/>
    <w:rsid w:val="0041361E"/>
    <w:rsid w:val="00414971"/>
    <w:rsid w:val="00414DCA"/>
    <w:rsid w:val="004156BA"/>
    <w:rsid w:val="00417E81"/>
    <w:rsid w:val="00423A0D"/>
    <w:rsid w:val="004249A5"/>
    <w:rsid w:val="00426CC2"/>
    <w:rsid w:val="00427941"/>
    <w:rsid w:val="00443F84"/>
    <w:rsid w:val="004462B1"/>
    <w:rsid w:val="0044684E"/>
    <w:rsid w:val="00447D5C"/>
    <w:rsid w:val="004502F7"/>
    <w:rsid w:val="00450D63"/>
    <w:rsid w:val="0045756F"/>
    <w:rsid w:val="00457B19"/>
    <w:rsid w:val="004634E4"/>
    <w:rsid w:val="004637E5"/>
    <w:rsid w:val="00464AE9"/>
    <w:rsid w:val="00472563"/>
    <w:rsid w:val="004747C9"/>
    <w:rsid w:val="004754BA"/>
    <w:rsid w:val="004763C8"/>
    <w:rsid w:val="004804FB"/>
    <w:rsid w:val="0048324E"/>
    <w:rsid w:val="00483408"/>
    <w:rsid w:val="00487A67"/>
    <w:rsid w:val="00490E69"/>
    <w:rsid w:val="004945A2"/>
    <w:rsid w:val="00495996"/>
    <w:rsid w:val="004962E5"/>
    <w:rsid w:val="00497258"/>
    <w:rsid w:val="004A275F"/>
    <w:rsid w:val="004A7277"/>
    <w:rsid w:val="004B0AED"/>
    <w:rsid w:val="004B1BA7"/>
    <w:rsid w:val="004B3599"/>
    <w:rsid w:val="004B3D08"/>
    <w:rsid w:val="004C5100"/>
    <w:rsid w:val="004D3615"/>
    <w:rsid w:val="004D7C03"/>
    <w:rsid w:val="004D7C9F"/>
    <w:rsid w:val="004E0BDB"/>
    <w:rsid w:val="004E23FE"/>
    <w:rsid w:val="004E33EE"/>
    <w:rsid w:val="004F14E2"/>
    <w:rsid w:val="004F2B9F"/>
    <w:rsid w:val="004F3F3F"/>
    <w:rsid w:val="004F463B"/>
    <w:rsid w:val="00500FBA"/>
    <w:rsid w:val="0050589D"/>
    <w:rsid w:val="00511827"/>
    <w:rsid w:val="00513B81"/>
    <w:rsid w:val="005214DB"/>
    <w:rsid w:val="00521627"/>
    <w:rsid w:val="00522882"/>
    <w:rsid w:val="00522FF6"/>
    <w:rsid w:val="005269BB"/>
    <w:rsid w:val="00533C67"/>
    <w:rsid w:val="0053492D"/>
    <w:rsid w:val="00540E09"/>
    <w:rsid w:val="0054178A"/>
    <w:rsid w:val="00541C67"/>
    <w:rsid w:val="00542CD6"/>
    <w:rsid w:val="00545773"/>
    <w:rsid w:val="00553AE4"/>
    <w:rsid w:val="00557F78"/>
    <w:rsid w:val="005635D3"/>
    <w:rsid w:val="005668DB"/>
    <w:rsid w:val="0057106A"/>
    <w:rsid w:val="005718CA"/>
    <w:rsid w:val="00571B13"/>
    <w:rsid w:val="005721A0"/>
    <w:rsid w:val="005725A4"/>
    <w:rsid w:val="00576763"/>
    <w:rsid w:val="00582D7F"/>
    <w:rsid w:val="00585B2E"/>
    <w:rsid w:val="00586089"/>
    <w:rsid w:val="005918A4"/>
    <w:rsid w:val="0059347B"/>
    <w:rsid w:val="00594A89"/>
    <w:rsid w:val="00597133"/>
    <w:rsid w:val="005A019B"/>
    <w:rsid w:val="005A03EE"/>
    <w:rsid w:val="005A2227"/>
    <w:rsid w:val="005A36AD"/>
    <w:rsid w:val="005A5DB7"/>
    <w:rsid w:val="005B0036"/>
    <w:rsid w:val="005B1477"/>
    <w:rsid w:val="005B4D06"/>
    <w:rsid w:val="005C0B60"/>
    <w:rsid w:val="005C10ED"/>
    <w:rsid w:val="005C14CB"/>
    <w:rsid w:val="005C1DDD"/>
    <w:rsid w:val="005C60C3"/>
    <w:rsid w:val="005D3EC6"/>
    <w:rsid w:val="005D426B"/>
    <w:rsid w:val="005D6E1F"/>
    <w:rsid w:val="005D6EF9"/>
    <w:rsid w:val="005E1AD9"/>
    <w:rsid w:val="005F433B"/>
    <w:rsid w:val="005F4454"/>
    <w:rsid w:val="006013D0"/>
    <w:rsid w:val="006030AD"/>
    <w:rsid w:val="00613890"/>
    <w:rsid w:val="00613E8B"/>
    <w:rsid w:val="0062104B"/>
    <w:rsid w:val="006225E8"/>
    <w:rsid w:val="006268FE"/>
    <w:rsid w:val="0063512E"/>
    <w:rsid w:val="006414BE"/>
    <w:rsid w:val="00645FC5"/>
    <w:rsid w:val="00652A81"/>
    <w:rsid w:val="00657901"/>
    <w:rsid w:val="00660B65"/>
    <w:rsid w:val="00662EFF"/>
    <w:rsid w:val="0066343C"/>
    <w:rsid w:val="00663D71"/>
    <w:rsid w:val="00663FAE"/>
    <w:rsid w:val="006708C6"/>
    <w:rsid w:val="00670C24"/>
    <w:rsid w:val="00675744"/>
    <w:rsid w:val="006759B7"/>
    <w:rsid w:val="006767DA"/>
    <w:rsid w:val="0068011C"/>
    <w:rsid w:val="0068038D"/>
    <w:rsid w:val="00681281"/>
    <w:rsid w:val="006836E8"/>
    <w:rsid w:val="00684AEC"/>
    <w:rsid w:val="006867A6"/>
    <w:rsid w:val="00690AAD"/>
    <w:rsid w:val="00691521"/>
    <w:rsid w:val="006932D9"/>
    <w:rsid w:val="006966D9"/>
    <w:rsid w:val="006A01CE"/>
    <w:rsid w:val="006A77ED"/>
    <w:rsid w:val="006B1618"/>
    <w:rsid w:val="006B36F0"/>
    <w:rsid w:val="006B4342"/>
    <w:rsid w:val="006B5330"/>
    <w:rsid w:val="006C403B"/>
    <w:rsid w:val="006C72E6"/>
    <w:rsid w:val="006D1B49"/>
    <w:rsid w:val="006D1C5D"/>
    <w:rsid w:val="006D2DFB"/>
    <w:rsid w:val="006E4456"/>
    <w:rsid w:val="006F1869"/>
    <w:rsid w:val="006F4179"/>
    <w:rsid w:val="006F4181"/>
    <w:rsid w:val="00700F4C"/>
    <w:rsid w:val="00701BC8"/>
    <w:rsid w:val="007033EA"/>
    <w:rsid w:val="00704481"/>
    <w:rsid w:val="00704A4F"/>
    <w:rsid w:val="007107C3"/>
    <w:rsid w:val="00712C5A"/>
    <w:rsid w:val="007153BE"/>
    <w:rsid w:val="00717144"/>
    <w:rsid w:val="0072179E"/>
    <w:rsid w:val="007242AC"/>
    <w:rsid w:val="00733A13"/>
    <w:rsid w:val="00734A01"/>
    <w:rsid w:val="00735BC8"/>
    <w:rsid w:val="00735E55"/>
    <w:rsid w:val="0073623C"/>
    <w:rsid w:val="00744ECB"/>
    <w:rsid w:val="007527AB"/>
    <w:rsid w:val="00753935"/>
    <w:rsid w:val="007604F1"/>
    <w:rsid w:val="00762439"/>
    <w:rsid w:val="00765E3E"/>
    <w:rsid w:val="00776626"/>
    <w:rsid w:val="007809AE"/>
    <w:rsid w:val="00785B57"/>
    <w:rsid w:val="0078797E"/>
    <w:rsid w:val="0079075A"/>
    <w:rsid w:val="00792242"/>
    <w:rsid w:val="007957AC"/>
    <w:rsid w:val="007A06DF"/>
    <w:rsid w:val="007A103E"/>
    <w:rsid w:val="007A1E65"/>
    <w:rsid w:val="007A5DFF"/>
    <w:rsid w:val="007A72C4"/>
    <w:rsid w:val="007A73DD"/>
    <w:rsid w:val="007B038D"/>
    <w:rsid w:val="007B088F"/>
    <w:rsid w:val="007B117D"/>
    <w:rsid w:val="007B44FB"/>
    <w:rsid w:val="007B7405"/>
    <w:rsid w:val="007C33D7"/>
    <w:rsid w:val="007D1D55"/>
    <w:rsid w:val="007D2F9E"/>
    <w:rsid w:val="007D39C3"/>
    <w:rsid w:val="007D4C11"/>
    <w:rsid w:val="007D5B14"/>
    <w:rsid w:val="007E0C7D"/>
    <w:rsid w:val="007E3351"/>
    <w:rsid w:val="007E44BC"/>
    <w:rsid w:val="007E5EE2"/>
    <w:rsid w:val="007E74B6"/>
    <w:rsid w:val="007F5C62"/>
    <w:rsid w:val="00806B00"/>
    <w:rsid w:val="008113E8"/>
    <w:rsid w:val="00815235"/>
    <w:rsid w:val="008203AD"/>
    <w:rsid w:val="00823B3C"/>
    <w:rsid w:val="0082483E"/>
    <w:rsid w:val="00825DCF"/>
    <w:rsid w:val="0082728C"/>
    <w:rsid w:val="00831753"/>
    <w:rsid w:val="008331F1"/>
    <w:rsid w:val="00847EF7"/>
    <w:rsid w:val="008508D0"/>
    <w:rsid w:val="00852E0E"/>
    <w:rsid w:val="00853378"/>
    <w:rsid w:val="00856CF6"/>
    <w:rsid w:val="0086418E"/>
    <w:rsid w:val="008666E9"/>
    <w:rsid w:val="00866E1D"/>
    <w:rsid w:val="00870BFC"/>
    <w:rsid w:val="00872A78"/>
    <w:rsid w:val="00875282"/>
    <w:rsid w:val="008755D5"/>
    <w:rsid w:val="00875A72"/>
    <w:rsid w:val="0088072F"/>
    <w:rsid w:val="008908C2"/>
    <w:rsid w:val="008939FD"/>
    <w:rsid w:val="00895861"/>
    <w:rsid w:val="00896834"/>
    <w:rsid w:val="008A0119"/>
    <w:rsid w:val="008A1B52"/>
    <w:rsid w:val="008A3C7F"/>
    <w:rsid w:val="008B127C"/>
    <w:rsid w:val="008B2AAB"/>
    <w:rsid w:val="008B46C7"/>
    <w:rsid w:val="008B7BBB"/>
    <w:rsid w:val="008C6419"/>
    <w:rsid w:val="008C797F"/>
    <w:rsid w:val="008D066E"/>
    <w:rsid w:val="008D3CD2"/>
    <w:rsid w:val="008E09EC"/>
    <w:rsid w:val="008E2C5A"/>
    <w:rsid w:val="008E619E"/>
    <w:rsid w:val="008F22B3"/>
    <w:rsid w:val="008F6EB8"/>
    <w:rsid w:val="00900E05"/>
    <w:rsid w:val="009018CA"/>
    <w:rsid w:val="0090352E"/>
    <w:rsid w:val="00904484"/>
    <w:rsid w:val="00905DC3"/>
    <w:rsid w:val="0091156A"/>
    <w:rsid w:val="00912B3E"/>
    <w:rsid w:val="00914F2E"/>
    <w:rsid w:val="00915486"/>
    <w:rsid w:val="009163B6"/>
    <w:rsid w:val="0091663C"/>
    <w:rsid w:val="009203B9"/>
    <w:rsid w:val="009235E3"/>
    <w:rsid w:val="00925375"/>
    <w:rsid w:val="009268FC"/>
    <w:rsid w:val="00927980"/>
    <w:rsid w:val="00927FF8"/>
    <w:rsid w:val="00932A91"/>
    <w:rsid w:val="00932AF5"/>
    <w:rsid w:val="00936EF3"/>
    <w:rsid w:val="00942C45"/>
    <w:rsid w:val="009444FF"/>
    <w:rsid w:val="00946812"/>
    <w:rsid w:val="0095091C"/>
    <w:rsid w:val="009543C4"/>
    <w:rsid w:val="00954704"/>
    <w:rsid w:val="0095542D"/>
    <w:rsid w:val="009605F7"/>
    <w:rsid w:val="00964B88"/>
    <w:rsid w:val="0097020D"/>
    <w:rsid w:val="00970363"/>
    <w:rsid w:val="009724EC"/>
    <w:rsid w:val="00972EFC"/>
    <w:rsid w:val="00981CB6"/>
    <w:rsid w:val="00981D02"/>
    <w:rsid w:val="00982AC8"/>
    <w:rsid w:val="009830BE"/>
    <w:rsid w:val="0098339B"/>
    <w:rsid w:val="00984027"/>
    <w:rsid w:val="00985EFC"/>
    <w:rsid w:val="00990EB1"/>
    <w:rsid w:val="00991370"/>
    <w:rsid w:val="00994AD8"/>
    <w:rsid w:val="00995B1C"/>
    <w:rsid w:val="009A35A1"/>
    <w:rsid w:val="009A4C7E"/>
    <w:rsid w:val="009B1EE3"/>
    <w:rsid w:val="009B2C9A"/>
    <w:rsid w:val="009B40A1"/>
    <w:rsid w:val="009B6F66"/>
    <w:rsid w:val="009C1393"/>
    <w:rsid w:val="009C252D"/>
    <w:rsid w:val="009C2BC7"/>
    <w:rsid w:val="009C70D3"/>
    <w:rsid w:val="009C71E3"/>
    <w:rsid w:val="009C73E1"/>
    <w:rsid w:val="009D3B7B"/>
    <w:rsid w:val="009D5831"/>
    <w:rsid w:val="009E4406"/>
    <w:rsid w:val="009F1D60"/>
    <w:rsid w:val="009F65DF"/>
    <w:rsid w:val="009F6FD0"/>
    <w:rsid w:val="009F712E"/>
    <w:rsid w:val="00A02807"/>
    <w:rsid w:val="00A029B5"/>
    <w:rsid w:val="00A03EE5"/>
    <w:rsid w:val="00A0584E"/>
    <w:rsid w:val="00A17FBF"/>
    <w:rsid w:val="00A21224"/>
    <w:rsid w:val="00A2500D"/>
    <w:rsid w:val="00A344CE"/>
    <w:rsid w:val="00A34F6F"/>
    <w:rsid w:val="00A368EA"/>
    <w:rsid w:val="00A409F7"/>
    <w:rsid w:val="00A41756"/>
    <w:rsid w:val="00A42F12"/>
    <w:rsid w:val="00A479AF"/>
    <w:rsid w:val="00A52EF3"/>
    <w:rsid w:val="00A64BFC"/>
    <w:rsid w:val="00A740D3"/>
    <w:rsid w:val="00A74B31"/>
    <w:rsid w:val="00A8339F"/>
    <w:rsid w:val="00A839F6"/>
    <w:rsid w:val="00A84D38"/>
    <w:rsid w:val="00A85112"/>
    <w:rsid w:val="00A85206"/>
    <w:rsid w:val="00A86A69"/>
    <w:rsid w:val="00A95C58"/>
    <w:rsid w:val="00AA3FE0"/>
    <w:rsid w:val="00AA4070"/>
    <w:rsid w:val="00AA445A"/>
    <w:rsid w:val="00AB2FBE"/>
    <w:rsid w:val="00AB690C"/>
    <w:rsid w:val="00AB7815"/>
    <w:rsid w:val="00AC3BD8"/>
    <w:rsid w:val="00AD4C00"/>
    <w:rsid w:val="00AD5AD3"/>
    <w:rsid w:val="00AD6C23"/>
    <w:rsid w:val="00AE071E"/>
    <w:rsid w:val="00AE0C91"/>
    <w:rsid w:val="00AE2831"/>
    <w:rsid w:val="00AE73E6"/>
    <w:rsid w:val="00AF05F0"/>
    <w:rsid w:val="00AF2401"/>
    <w:rsid w:val="00AF50B1"/>
    <w:rsid w:val="00AF5D8B"/>
    <w:rsid w:val="00B05574"/>
    <w:rsid w:val="00B07A7F"/>
    <w:rsid w:val="00B10329"/>
    <w:rsid w:val="00B124B3"/>
    <w:rsid w:val="00B13CEF"/>
    <w:rsid w:val="00B158EF"/>
    <w:rsid w:val="00B15C29"/>
    <w:rsid w:val="00B263E9"/>
    <w:rsid w:val="00B372F9"/>
    <w:rsid w:val="00B47280"/>
    <w:rsid w:val="00B473E6"/>
    <w:rsid w:val="00B653D8"/>
    <w:rsid w:val="00B65F2B"/>
    <w:rsid w:val="00B70FEE"/>
    <w:rsid w:val="00B7444B"/>
    <w:rsid w:val="00B76C39"/>
    <w:rsid w:val="00B77ACC"/>
    <w:rsid w:val="00B8119E"/>
    <w:rsid w:val="00B81A48"/>
    <w:rsid w:val="00B824BD"/>
    <w:rsid w:val="00B83DA8"/>
    <w:rsid w:val="00B868C8"/>
    <w:rsid w:val="00B97450"/>
    <w:rsid w:val="00BB261A"/>
    <w:rsid w:val="00BB4581"/>
    <w:rsid w:val="00BB5F18"/>
    <w:rsid w:val="00BB6F2F"/>
    <w:rsid w:val="00BC1BF9"/>
    <w:rsid w:val="00BC24FF"/>
    <w:rsid w:val="00BC5970"/>
    <w:rsid w:val="00BC5C90"/>
    <w:rsid w:val="00BD07D8"/>
    <w:rsid w:val="00BD3314"/>
    <w:rsid w:val="00BD3BAF"/>
    <w:rsid w:val="00BD46BA"/>
    <w:rsid w:val="00BD6835"/>
    <w:rsid w:val="00BD6C3B"/>
    <w:rsid w:val="00BD77E4"/>
    <w:rsid w:val="00BF43F2"/>
    <w:rsid w:val="00BF6F2F"/>
    <w:rsid w:val="00BF70EC"/>
    <w:rsid w:val="00BF7BB8"/>
    <w:rsid w:val="00C023B8"/>
    <w:rsid w:val="00C04528"/>
    <w:rsid w:val="00C05877"/>
    <w:rsid w:val="00C10FFC"/>
    <w:rsid w:val="00C117DA"/>
    <w:rsid w:val="00C13BDC"/>
    <w:rsid w:val="00C16BC2"/>
    <w:rsid w:val="00C23D45"/>
    <w:rsid w:val="00C26D31"/>
    <w:rsid w:val="00C27A40"/>
    <w:rsid w:val="00C32A16"/>
    <w:rsid w:val="00C32FB5"/>
    <w:rsid w:val="00C50915"/>
    <w:rsid w:val="00C50AC7"/>
    <w:rsid w:val="00C54DF1"/>
    <w:rsid w:val="00C603DA"/>
    <w:rsid w:val="00C6131A"/>
    <w:rsid w:val="00C637DB"/>
    <w:rsid w:val="00C640E4"/>
    <w:rsid w:val="00C6454F"/>
    <w:rsid w:val="00C64C0D"/>
    <w:rsid w:val="00C72F36"/>
    <w:rsid w:val="00C730DD"/>
    <w:rsid w:val="00C76EA2"/>
    <w:rsid w:val="00C77058"/>
    <w:rsid w:val="00C77AB2"/>
    <w:rsid w:val="00C8177E"/>
    <w:rsid w:val="00C82199"/>
    <w:rsid w:val="00C839C8"/>
    <w:rsid w:val="00C8481A"/>
    <w:rsid w:val="00C91E64"/>
    <w:rsid w:val="00C9505A"/>
    <w:rsid w:val="00C96643"/>
    <w:rsid w:val="00CA3E7D"/>
    <w:rsid w:val="00CA4B45"/>
    <w:rsid w:val="00CA5DE0"/>
    <w:rsid w:val="00CA69D8"/>
    <w:rsid w:val="00CB4D77"/>
    <w:rsid w:val="00CB5255"/>
    <w:rsid w:val="00CB6061"/>
    <w:rsid w:val="00CB685E"/>
    <w:rsid w:val="00CC009E"/>
    <w:rsid w:val="00CC117C"/>
    <w:rsid w:val="00CC6F0A"/>
    <w:rsid w:val="00CD0A82"/>
    <w:rsid w:val="00CD26B7"/>
    <w:rsid w:val="00CD4392"/>
    <w:rsid w:val="00CF01A8"/>
    <w:rsid w:val="00CF0840"/>
    <w:rsid w:val="00CF49C9"/>
    <w:rsid w:val="00CF774F"/>
    <w:rsid w:val="00D03AFF"/>
    <w:rsid w:val="00D118AD"/>
    <w:rsid w:val="00D1276D"/>
    <w:rsid w:val="00D1297F"/>
    <w:rsid w:val="00D17958"/>
    <w:rsid w:val="00D17D12"/>
    <w:rsid w:val="00D21602"/>
    <w:rsid w:val="00D444EB"/>
    <w:rsid w:val="00D44782"/>
    <w:rsid w:val="00D46BF9"/>
    <w:rsid w:val="00D50D54"/>
    <w:rsid w:val="00D51124"/>
    <w:rsid w:val="00D52A0E"/>
    <w:rsid w:val="00D53DD4"/>
    <w:rsid w:val="00D5416D"/>
    <w:rsid w:val="00D55C9B"/>
    <w:rsid w:val="00D56654"/>
    <w:rsid w:val="00D578F9"/>
    <w:rsid w:val="00D61F97"/>
    <w:rsid w:val="00D62E6F"/>
    <w:rsid w:val="00D70BA5"/>
    <w:rsid w:val="00D82F82"/>
    <w:rsid w:val="00D84E65"/>
    <w:rsid w:val="00D87B23"/>
    <w:rsid w:val="00D96D8B"/>
    <w:rsid w:val="00DA1530"/>
    <w:rsid w:val="00DA161A"/>
    <w:rsid w:val="00DA3F73"/>
    <w:rsid w:val="00DA459B"/>
    <w:rsid w:val="00DA6115"/>
    <w:rsid w:val="00DB1E8F"/>
    <w:rsid w:val="00DB493B"/>
    <w:rsid w:val="00DB7253"/>
    <w:rsid w:val="00DC2A71"/>
    <w:rsid w:val="00DC6417"/>
    <w:rsid w:val="00DC7FA5"/>
    <w:rsid w:val="00DD2D1A"/>
    <w:rsid w:val="00DD363E"/>
    <w:rsid w:val="00DD47D9"/>
    <w:rsid w:val="00DD6C28"/>
    <w:rsid w:val="00DD6E67"/>
    <w:rsid w:val="00DD7896"/>
    <w:rsid w:val="00DD7B57"/>
    <w:rsid w:val="00DE3D20"/>
    <w:rsid w:val="00DF1136"/>
    <w:rsid w:val="00E0139B"/>
    <w:rsid w:val="00E126F4"/>
    <w:rsid w:val="00E1297F"/>
    <w:rsid w:val="00E15BDD"/>
    <w:rsid w:val="00E26C90"/>
    <w:rsid w:val="00E27D9D"/>
    <w:rsid w:val="00E32F27"/>
    <w:rsid w:val="00E32FC7"/>
    <w:rsid w:val="00E339AE"/>
    <w:rsid w:val="00E37B7F"/>
    <w:rsid w:val="00E37D1F"/>
    <w:rsid w:val="00E41B19"/>
    <w:rsid w:val="00E43225"/>
    <w:rsid w:val="00E45D96"/>
    <w:rsid w:val="00E5148F"/>
    <w:rsid w:val="00E53778"/>
    <w:rsid w:val="00E56458"/>
    <w:rsid w:val="00E57E9E"/>
    <w:rsid w:val="00E609D0"/>
    <w:rsid w:val="00E61C54"/>
    <w:rsid w:val="00E66931"/>
    <w:rsid w:val="00E709AC"/>
    <w:rsid w:val="00E73B76"/>
    <w:rsid w:val="00E8493C"/>
    <w:rsid w:val="00E902DA"/>
    <w:rsid w:val="00E92EBA"/>
    <w:rsid w:val="00E9414C"/>
    <w:rsid w:val="00E95B33"/>
    <w:rsid w:val="00E96C59"/>
    <w:rsid w:val="00EA08D4"/>
    <w:rsid w:val="00EA1A20"/>
    <w:rsid w:val="00EB1603"/>
    <w:rsid w:val="00EB29E1"/>
    <w:rsid w:val="00EC5CA0"/>
    <w:rsid w:val="00ED1C6A"/>
    <w:rsid w:val="00ED3906"/>
    <w:rsid w:val="00ED58F6"/>
    <w:rsid w:val="00ED5BB1"/>
    <w:rsid w:val="00ED70CD"/>
    <w:rsid w:val="00EE09F6"/>
    <w:rsid w:val="00EE0BB8"/>
    <w:rsid w:val="00EE1845"/>
    <w:rsid w:val="00EF07AA"/>
    <w:rsid w:val="00EF0D16"/>
    <w:rsid w:val="00EF1FA9"/>
    <w:rsid w:val="00EF5330"/>
    <w:rsid w:val="00EF7959"/>
    <w:rsid w:val="00F00AE8"/>
    <w:rsid w:val="00F01430"/>
    <w:rsid w:val="00F05167"/>
    <w:rsid w:val="00F07B78"/>
    <w:rsid w:val="00F07D35"/>
    <w:rsid w:val="00F10DF9"/>
    <w:rsid w:val="00F11319"/>
    <w:rsid w:val="00F12CE4"/>
    <w:rsid w:val="00F1576F"/>
    <w:rsid w:val="00F2007D"/>
    <w:rsid w:val="00F24998"/>
    <w:rsid w:val="00F25832"/>
    <w:rsid w:val="00F27CDE"/>
    <w:rsid w:val="00F30B78"/>
    <w:rsid w:val="00F30CF8"/>
    <w:rsid w:val="00F52589"/>
    <w:rsid w:val="00F52636"/>
    <w:rsid w:val="00F5269A"/>
    <w:rsid w:val="00F549B6"/>
    <w:rsid w:val="00F57968"/>
    <w:rsid w:val="00F62A60"/>
    <w:rsid w:val="00F64F97"/>
    <w:rsid w:val="00F65850"/>
    <w:rsid w:val="00F67927"/>
    <w:rsid w:val="00F70A14"/>
    <w:rsid w:val="00F7365D"/>
    <w:rsid w:val="00F73764"/>
    <w:rsid w:val="00F74713"/>
    <w:rsid w:val="00F84D2B"/>
    <w:rsid w:val="00F85154"/>
    <w:rsid w:val="00F918AB"/>
    <w:rsid w:val="00F924EA"/>
    <w:rsid w:val="00F97CA1"/>
    <w:rsid w:val="00FA1B8F"/>
    <w:rsid w:val="00FA4052"/>
    <w:rsid w:val="00FB180F"/>
    <w:rsid w:val="00FC1DE2"/>
    <w:rsid w:val="00FD030B"/>
    <w:rsid w:val="00FD387F"/>
    <w:rsid w:val="00FD4E52"/>
    <w:rsid w:val="00FD55A7"/>
    <w:rsid w:val="00FD67F3"/>
    <w:rsid w:val="00FE3041"/>
    <w:rsid w:val="00FE3750"/>
    <w:rsid w:val="00FE4BDD"/>
    <w:rsid w:val="00FE7BA0"/>
    <w:rsid w:val="00FF1BC2"/>
    <w:rsid w:val="027B4BF9"/>
    <w:rsid w:val="11EBA2B3"/>
    <w:rsid w:val="12C3FCF1"/>
    <w:rsid w:val="26D5FDBB"/>
    <w:rsid w:val="318CCA25"/>
    <w:rsid w:val="319E123B"/>
    <w:rsid w:val="379C7E5E"/>
    <w:rsid w:val="3B25617B"/>
    <w:rsid w:val="46F48F4F"/>
    <w:rsid w:val="4E269DD2"/>
    <w:rsid w:val="50DE79D8"/>
    <w:rsid w:val="592DCB13"/>
    <w:rsid w:val="69681CA8"/>
    <w:rsid w:val="6ED77C4E"/>
    <w:rsid w:val="7348359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FAFE69"/>
  <w15:docId w15:val="{3B52398C-21F5-450E-AF90-BBF26141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EastAsia"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724EC"/>
  </w:style>
  <w:style w:type="paragraph" w:styleId="Heading1">
    <w:name w:val="heading 1"/>
    <w:basedOn w:val="Normal"/>
    <w:next w:val="Normal"/>
    <w:link w:val="Heading1Char"/>
    <w:uiPriority w:val="9"/>
    <w:qFormat/>
    <w:rsid w:val="001F426D"/>
    <w:pPr>
      <w:keepNext/>
      <w:keepLines/>
      <w:spacing w:before="240" w:after="240"/>
      <w:outlineLvl w:val="0"/>
    </w:pPr>
    <w:rPr>
      <w:rFonts w:asciiTheme="majorHAnsi" w:hAnsiTheme="majorHAnsi" w:eastAsiaTheme="majorEastAsia" w:cstheme="majorBidi"/>
      <w:caps/>
      <w:color w:val="980000" w:themeColor="accent1" w:themeShade="BF"/>
      <w:sz w:val="32"/>
      <w:szCs w:val="32"/>
    </w:rPr>
  </w:style>
  <w:style w:type="paragraph" w:styleId="Heading2">
    <w:name w:val="heading 2"/>
    <w:basedOn w:val="Normal"/>
    <w:next w:val="Normal"/>
    <w:link w:val="Heading2Char"/>
    <w:uiPriority w:val="9"/>
    <w:unhideWhenUsed/>
    <w:qFormat/>
    <w:rsid w:val="009830BE"/>
    <w:pPr>
      <w:keepNext/>
      <w:keepLines/>
      <w:numPr>
        <w:numId w:val="1"/>
      </w:numPr>
      <w:spacing w:before="40" w:after="120"/>
      <w:outlineLvl w:val="1"/>
    </w:pPr>
    <w:rPr>
      <w:rFonts w:ascii="Arial" w:hAnsi="Arial" w:eastAsiaTheme="majorEastAsia" w:cstheme="majorBidi"/>
      <w:caps/>
      <w:color w:val="980000" w:themeColor="accent1" w:themeShade="BF"/>
      <w:sz w:val="24"/>
      <w:szCs w:val="26"/>
      <w:lang w:val="en-GB"/>
    </w:rPr>
  </w:style>
  <w:style w:type="paragraph" w:styleId="Heading3">
    <w:name w:val="heading 3"/>
    <w:basedOn w:val="ListParagraph"/>
    <w:next w:val="Normal"/>
    <w:link w:val="Heading3Char"/>
    <w:uiPriority w:val="9"/>
    <w:unhideWhenUsed/>
    <w:qFormat/>
    <w:rsid w:val="009830BE"/>
    <w:pPr>
      <w:numPr>
        <w:ilvl w:val="1"/>
        <w:numId w:val="1"/>
      </w:numPr>
      <w:spacing w:before="120"/>
      <w:outlineLvl w:val="2"/>
    </w:pPr>
    <w:rPr>
      <w:rFonts w:ascii="Arial" w:hAnsi="Arial"/>
      <w:sz w:val="21"/>
      <w:lang w:val="en-GB"/>
    </w:rPr>
  </w:style>
  <w:style w:type="paragraph" w:styleId="Heading4">
    <w:name w:val="heading 4"/>
    <w:basedOn w:val="Heading3"/>
    <w:next w:val="Normal"/>
    <w:link w:val="Heading4Char"/>
    <w:uiPriority w:val="9"/>
    <w:unhideWhenUsed/>
    <w:qFormat/>
    <w:rsid w:val="00753935"/>
    <w:pPr>
      <w:numPr>
        <w:ilvl w:val="2"/>
      </w:numPr>
      <w:outlineLvl w:val="3"/>
    </w:pPr>
  </w:style>
  <w:style w:type="paragraph" w:styleId="Heading5">
    <w:name w:val="heading 5"/>
    <w:aliases w:val="RCR Bullets"/>
    <w:basedOn w:val="Heading4"/>
    <w:next w:val="Normal"/>
    <w:link w:val="Heading5Char"/>
    <w:uiPriority w:val="9"/>
    <w:unhideWhenUsed/>
    <w:qFormat/>
    <w:rsid w:val="00EE0BB8"/>
    <w:pPr>
      <w:numPr>
        <w:ilvl w:val="3"/>
      </w:numPr>
      <w:outlineLvl w:val="4"/>
    </w:pPr>
  </w:style>
  <w:style w:type="paragraph" w:styleId="Heading6">
    <w:name w:val="heading 6"/>
    <w:aliases w:val="RCR Sub Bullet"/>
    <w:basedOn w:val="Heading5"/>
    <w:next w:val="Normal"/>
    <w:link w:val="Heading6Char"/>
    <w:uiPriority w:val="9"/>
    <w:unhideWhenUsed/>
    <w:qFormat/>
    <w:rsid w:val="00F11319"/>
    <w:pPr>
      <w:numPr>
        <w:ilvl w:val="0"/>
        <w:numId w:val="0"/>
      </w:numPr>
      <w:spacing w:before="60" w:after="60" w:line="240" w:lineRule="auto"/>
      <w:ind w:left="1080" w:hanging="360"/>
      <w:contextualSpacing w:val="0"/>
      <w:outlineLvl w:val="5"/>
    </w:pPr>
    <w:rPr>
      <w:rFonts w:eastAsiaTheme="majorEastAsia" w:cstheme="majorBidi"/>
      <w:i/>
      <w:lang w:val="en-AU"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F5330"/>
    <w:pPr>
      <w:tabs>
        <w:tab w:val="center" w:pos="4513"/>
        <w:tab w:val="right" w:pos="9026"/>
      </w:tabs>
      <w:spacing w:after="0" w:line="240" w:lineRule="auto"/>
    </w:pPr>
  </w:style>
  <w:style w:type="character" w:styleId="HeaderChar" w:customStyle="1">
    <w:name w:val="Header Char"/>
    <w:basedOn w:val="DefaultParagraphFont"/>
    <w:link w:val="Header"/>
    <w:uiPriority w:val="99"/>
    <w:rsid w:val="00EF5330"/>
  </w:style>
  <w:style w:type="paragraph" w:styleId="Footer">
    <w:name w:val="footer"/>
    <w:basedOn w:val="Normal"/>
    <w:link w:val="FooterChar"/>
    <w:uiPriority w:val="99"/>
    <w:unhideWhenUsed/>
    <w:rsid w:val="00EF5330"/>
    <w:pPr>
      <w:tabs>
        <w:tab w:val="center" w:pos="4513"/>
        <w:tab w:val="right" w:pos="9026"/>
      </w:tabs>
      <w:spacing w:after="0" w:line="240" w:lineRule="auto"/>
    </w:pPr>
  </w:style>
  <w:style w:type="character" w:styleId="FooterChar" w:customStyle="1">
    <w:name w:val="Footer Char"/>
    <w:basedOn w:val="DefaultParagraphFont"/>
    <w:link w:val="Footer"/>
    <w:uiPriority w:val="99"/>
    <w:rsid w:val="00EF5330"/>
  </w:style>
  <w:style w:type="paragraph" w:styleId="Title">
    <w:name w:val="Title"/>
    <w:basedOn w:val="Normal"/>
    <w:next w:val="Normal"/>
    <w:link w:val="TitleChar"/>
    <w:uiPriority w:val="10"/>
    <w:qFormat/>
    <w:rsid w:val="00BD07D8"/>
    <w:pPr>
      <w:spacing w:after="0" w:line="240" w:lineRule="auto"/>
      <w:contextualSpacing/>
    </w:pPr>
    <w:rPr>
      <w:rFonts w:asciiTheme="majorHAnsi" w:hAnsiTheme="majorHAnsi" w:eastAsiaTheme="majorEastAsia" w:cstheme="majorBidi"/>
      <w:spacing w:val="-10"/>
      <w:kern w:val="28"/>
      <w:sz w:val="48"/>
      <w:szCs w:val="56"/>
    </w:rPr>
  </w:style>
  <w:style w:type="character" w:styleId="TitleChar" w:customStyle="1">
    <w:name w:val="Title Char"/>
    <w:basedOn w:val="DefaultParagraphFont"/>
    <w:link w:val="Title"/>
    <w:uiPriority w:val="10"/>
    <w:rsid w:val="00BD07D8"/>
    <w:rPr>
      <w:rFonts w:asciiTheme="majorHAnsi" w:hAnsiTheme="majorHAnsi" w:eastAsiaTheme="majorEastAsia" w:cstheme="majorBidi"/>
      <w:spacing w:val="-10"/>
      <w:kern w:val="28"/>
      <w:sz w:val="48"/>
      <w:szCs w:val="56"/>
    </w:rPr>
  </w:style>
  <w:style w:type="character" w:styleId="Heading1Char" w:customStyle="1">
    <w:name w:val="Heading 1 Char"/>
    <w:basedOn w:val="DefaultParagraphFont"/>
    <w:link w:val="Heading1"/>
    <w:uiPriority w:val="9"/>
    <w:rsid w:val="001F426D"/>
    <w:rPr>
      <w:rFonts w:asciiTheme="majorHAnsi" w:hAnsiTheme="majorHAnsi" w:eastAsiaTheme="majorEastAsia" w:cstheme="majorBidi"/>
      <w:caps/>
      <w:color w:val="980000" w:themeColor="accent1" w:themeShade="BF"/>
      <w:sz w:val="32"/>
      <w:szCs w:val="32"/>
    </w:rPr>
  </w:style>
  <w:style w:type="paragraph" w:styleId="ListParagraph">
    <w:name w:val="List Paragraph"/>
    <w:basedOn w:val="Normal"/>
    <w:uiPriority w:val="34"/>
    <w:qFormat/>
    <w:rsid w:val="00753935"/>
    <w:pPr>
      <w:ind w:left="720"/>
      <w:contextualSpacing/>
    </w:pPr>
  </w:style>
  <w:style w:type="character" w:styleId="Heading2Char" w:customStyle="1">
    <w:name w:val="Heading 2 Char"/>
    <w:basedOn w:val="DefaultParagraphFont"/>
    <w:link w:val="Heading2"/>
    <w:uiPriority w:val="9"/>
    <w:rsid w:val="009830BE"/>
    <w:rPr>
      <w:rFonts w:ascii="Arial" w:hAnsi="Arial" w:eastAsiaTheme="majorEastAsia" w:cstheme="majorBidi"/>
      <w:caps/>
      <w:color w:val="980000" w:themeColor="accent1" w:themeShade="BF"/>
      <w:sz w:val="24"/>
      <w:szCs w:val="26"/>
      <w:lang w:val="en-GB"/>
    </w:rPr>
  </w:style>
  <w:style w:type="character" w:styleId="Heading3Char" w:customStyle="1">
    <w:name w:val="Heading 3 Char"/>
    <w:basedOn w:val="DefaultParagraphFont"/>
    <w:link w:val="Heading3"/>
    <w:uiPriority w:val="9"/>
    <w:rsid w:val="009830BE"/>
    <w:rPr>
      <w:rFonts w:ascii="Arial" w:hAnsi="Arial"/>
      <w:sz w:val="21"/>
      <w:lang w:val="en-GB"/>
    </w:rPr>
  </w:style>
  <w:style w:type="character" w:styleId="Heading4Char" w:customStyle="1">
    <w:name w:val="Heading 4 Char"/>
    <w:basedOn w:val="DefaultParagraphFont"/>
    <w:link w:val="Heading4"/>
    <w:uiPriority w:val="9"/>
    <w:rsid w:val="00753935"/>
    <w:rPr>
      <w:rFonts w:ascii="Arial" w:hAnsi="Arial"/>
      <w:sz w:val="21"/>
      <w:lang w:val="en-GB"/>
    </w:rPr>
  </w:style>
  <w:style w:type="character" w:styleId="Heading5Char" w:customStyle="1">
    <w:name w:val="Heading 5 Char"/>
    <w:aliases w:val="RCR Bullets Char"/>
    <w:basedOn w:val="DefaultParagraphFont"/>
    <w:link w:val="Heading5"/>
    <w:uiPriority w:val="9"/>
    <w:rsid w:val="00EE0BB8"/>
    <w:rPr>
      <w:rFonts w:ascii="Arial" w:hAnsi="Arial"/>
      <w:sz w:val="21"/>
      <w:lang w:val="en-GB"/>
    </w:rPr>
  </w:style>
  <w:style w:type="table" w:styleId="GridTable5Dark-Accent11" w:customStyle="1">
    <w:name w:val="Grid Table 5 Dark - Accent 11"/>
    <w:basedOn w:val="TableNormal"/>
    <w:uiPriority w:val="50"/>
    <w:rsid w:val="005725A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C1C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C0000"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C0000"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CC0000"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C0000" w:themeFill="accent1"/>
      </w:tcPr>
    </w:tblStylePr>
    <w:tblStylePr w:type="band1Vert">
      <w:tblPr/>
      <w:tcPr>
        <w:shd w:val="clear" w:color="auto" w:fill="FF8484" w:themeFill="accent1" w:themeFillTint="66"/>
      </w:tcPr>
    </w:tblStylePr>
    <w:tblStylePr w:type="band1Horz">
      <w:tblPr/>
      <w:tcPr>
        <w:shd w:val="clear" w:color="auto" w:fill="FF8484" w:themeFill="accent1" w:themeFillTint="66"/>
      </w:tcPr>
    </w:tblStylePr>
  </w:style>
  <w:style w:type="table" w:styleId="GridTable4-Accent11" w:customStyle="1">
    <w:name w:val="Grid Table 4 - Accent 11"/>
    <w:basedOn w:val="TableNormal"/>
    <w:uiPriority w:val="49"/>
    <w:rsid w:val="005725A4"/>
    <w:pPr>
      <w:spacing w:after="0" w:line="240" w:lineRule="auto"/>
    </w:pPr>
    <w:tblPr>
      <w:tblStyleRowBandSize w:val="1"/>
      <w:tblStyleColBandSize w:val="1"/>
      <w:tblBorders>
        <w:top w:val="single" w:color="FF4747" w:themeColor="accent1" w:themeTint="99" w:sz="4" w:space="0"/>
        <w:left w:val="single" w:color="FF4747" w:themeColor="accent1" w:themeTint="99" w:sz="4" w:space="0"/>
        <w:bottom w:val="single" w:color="FF4747" w:themeColor="accent1" w:themeTint="99" w:sz="4" w:space="0"/>
        <w:right w:val="single" w:color="FF4747" w:themeColor="accent1" w:themeTint="99" w:sz="4" w:space="0"/>
        <w:insideH w:val="single" w:color="FF4747" w:themeColor="accent1" w:themeTint="99" w:sz="4" w:space="0"/>
        <w:insideV w:val="single" w:color="FF4747" w:themeColor="accent1" w:themeTint="99" w:sz="4" w:space="0"/>
      </w:tblBorders>
    </w:tblPr>
    <w:tblStylePr w:type="firstRow">
      <w:rPr>
        <w:b/>
        <w:bCs/>
        <w:color w:val="FFFFFF" w:themeColor="background1"/>
      </w:rPr>
      <w:tblPr/>
      <w:tcPr>
        <w:tcBorders>
          <w:top w:val="single" w:color="CC0000" w:themeColor="accent1" w:sz="4" w:space="0"/>
          <w:left w:val="single" w:color="CC0000" w:themeColor="accent1" w:sz="4" w:space="0"/>
          <w:bottom w:val="single" w:color="CC0000" w:themeColor="accent1" w:sz="4" w:space="0"/>
          <w:right w:val="single" w:color="CC0000" w:themeColor="accent1" w:sz="4" w:space="0"/>
          <w:insideH w:val="nil"/>
          <w:insideV w:val="nil"/>
        </w:tcBorders>
        <w:shd w:val="clear" w:color="auto" w:fill="CC0000" w:themeFill="accent1"/>
      </w:tcPr>
    </w:tblStylePr>
    <w:tblStylePr w:type="lastRow">
      <w:rPr>
        <w:b/>
        <w:bCs/>
      </w:rPr>
      <w:tblPr/>
      <w:tcPr>
        <w:tcBorders>
          <w:top w:val="double" w:color="CC0000" w:themeColor="accent1" w:sz="4" w:space="0"/>
        </w:tcBorders>
      </w:tcPr>
    </w:tblStylePr>
    <w:tblStylePr w:type="firstCol">
      <w:rPr>
        <w:b/>
        <w:bCs/>
      </w:rPr>
    </w:tblStylePr>
    <w:tblStylePr w:type="lastCol">
      <w:rPr>
        <w:b/>
        <w:bCs/>
      </w:rPr>
    </w:tblStylePr>
    <w:tblStylePr w:type="band1Vert">
      <w:tblPr/>
      <w:tcPr>
        <w:shd w:val="clear" w:color="auto" w:fill="FFC1C1" w:themeFill="accent1" w:themeFillTint="33"/>
      </w:tcPr>
    </w:tblStylePr>
    <w:tblStylePr w:type="band1Horz">
      <w:tblPr/>
      <w:tcPr>
        <w:shd w:val="clear" w:color="auto" w:fill="FFC1C1" w:themeFill="accent1" w:themeFillTint="33"/>
      </w:tcPr>
    </w:tblStylePr>
  </w:style>
  <w:style w:type="paragraph" w:styleId="BodyText">
    <w:name w:val="Body Text"/>
    <w:basedOn w:val="Normal"/>
    <w:link w:val="BodyTextChar"/>
    <w:qFormat/>
    <w:rsid w:val="000E4EDA"/>
    <w:pPr>
      <w:overflowPunct w:val="0"/>
      <w:autoSpaceDE w:val="0"/>
      <w:autoSpaceDN w:val="0"/>
      <w:adjustRightInd w:val="0"/>
      <w:spacing w:after="120" w:line="240" w:lineRule="auto"/>
      <w:jc w:val="both"/>
      <w:textAlignment w:val="baseline"/>
    </w:pPr>
    <w:rPr>
      <w:rFonts w:ascii="Times New Roman" w:hAnsi="Times New Roman" w:eastAsia="Times New Roman" w:cs="Times New Roman"/>
      <w:szCs w:val="20"/>
      <w:lang w:val="en-GB" w:eastAsia="en-US"/>
    </w:rPr>
  </w:style>
  <w:style w:type="character" w:styleId="BodyTextChar" w:customStyle="1">
    <w:name w:val="Body Text Char"/>
    <w:basedOn w:val="DefaultParagraphFont"/>
    <w:link w:val="BodyText"/>
    <w:rsid w:val="000E4EDA"/>
    <w:rPr>
      <w:rFonts w:ascii="Times New Roman" w:hAnsi="Times New Roman" w:eastAsia="Times New Roman" w:cs="Times New Roman"/>
      <w:szCs w:val="20"/>
      <w:lang w:val="en-GB" w:eastAsia="en-US"/>
    </w:rPr>
  </w:style>
  <w:style w:type="table" w:styleId="GridTable4-Accent61" w:customStyle="1">
    <w:name w:val="Grid Table 4 - Accent 61"/>
    <w:basedOn w:val="TableNormal"/>
    <w:uiPriority w:val="49"/>
    <w:rsid w:val="000E4EDA"/>
    <w:pPr>
      <w:spacing w:after="0" w:line="240" w:lineRule="auto"/>
    </w:pPr>
    <w:rPr>
      <w:rFonts w:ascii="Times New Roman" w:hAnsi="Times New Roman" w:eastAsia="Times New Roman" w:cs="Times New Roman"/>
      <w:sz w:val="20"/>
      <w:szCs w:val="20"/>
      <w:lang w:eastAsia="en-AU"/>
    </w:rPr>
    <w:tblPr>
      <w:tblStyleRowBandSize w:val="1"/>
      <w:tblStyleColBandSize w:val="1"/>
      <w:tblBorders>
        <w:top w:val="single" w:color="FF4747" w:themeColor="accent6" w:themeTint="99" w:sz="4" w:space="0"/>
        <w:left w:val="single" w:color="FF4747" w:themeColor="accent6" w:themeTint="99" w:sz="4" w:space="0"/>
        <w:bottom w:val="single" w:color="FF4747" w:themeColor="accent6" w:themeTint="99" w:sz="4" w:space="0"/>
        <w:right w:val="single" w:color="FF4747" w:themeColor="accent6" w:themeTint="99" w:sz="4" w:space="0"/>
        <w:insideH w:val="single" w:color="FF4747" w:themeColor="accent6" w:themeTint="99" w:sz="4" w:space="0"/>
        <w:insideV w:val="single" w:color="FF4747" w:themeColor="accent6" w:themeTint="99" w:sz="4" w:space="0"/>
      </w:tblBorders>
    </w:tblPr>
    <w:tblStylePr w:type="firstRow">
      <w:rPr>
        <w:b/>
        <w:bCs/>
        <w:color w:val="FFFFFF" w:themeColor="background1"/>
      </w:rPr>
      <w:tblPr/>
      <w:tcPr>
        <w:tcBorders>
          <w:top w:val="single" w:color="CC0000" w:themeColor="accent6" w:sz="4" w:space="0"/>
          <w:left w:val="single" w:color="CC0000" w:themeColor="accent6" w:sz="4" w:space="0"/>
          <w:bottom w:val="single" w:color="CC0000" w:themeColor="accent6" w:sz="4" w:space="0"/>
          <w:right w:val="single" w:color="CC0000" w:themeColor="accent6" w:sz="4" w:space="0"/>
          <w:insideH w:val="nil"/>
          <w:insideV w:val="nil"/>
        </w:tcBorders>
        <w:shd w:val="clear" w:color="auto" w:fill="CC0000" w:themeFill="accent6"/>
      </w:tcPr>
    </w:tblStylePr>
    <w:tblStylePr w:type="lastRow">
      <w:rPr>
        <w:b/>
        <w:bCs/>
      </w:rPr>
      <w:tblPr/>
      <w:tcPr>
        <w:tcBorders>
          <w:top w:val="double" w:color="CC0000" w:themeColor="accent6" w:sz="4" w:space="0"/>
        </w:tcBorders>
      </w:tcPr>
    </w:tblStylePr>
    <w:tblStylePr w:type="firstCol">
      <w:rPr>
        <w:b/>
        <w:bCs/>
      </w:rPr>
    </w:tblStylePr>
    <w:tblStylePr w:type="lastCol">
      <w:rPr>
        <w:b/>
        <w:bCs/>
      </w:rPr>
    </w:tblStylePr>
    <w:tblStylePr w:type="band1Vert">
      <w:tblPr/>
      <w:tcPr>
        <w:shd w:val="clear" w:color="auto" w:fill="FFC1C1" w:themeFill="accent6" w:themeFillTint="33"/>
      </w:tcPr>
    </w:tblStylePr>
    <w:tblStylePr w:type="band1Horz">
      <w:tblPr/>
      <w:tcPr>
        <w:shd w:val="clear" w:color="auto" w:fill="FFC1C1" w:themeFill="accent6" w:themeFillTint="33"/>
      </w:tcPr>
    </w:tblStylePr>
  </w:style>
  <w:style w:type="paragraph" w:styleId="Caption">
    <w:name w:val="caption"/>
    <w:basedOn w:val="Normal"/>
    <w:next w:val="Normal"/>
    <w:uiPriority w:val="35"/>
    <w:unhideWhenUsed/>
    <w:qFormat/>
    <w:rsid w:val="00DD363E"/>
    <w:pPr>
      <w:spacing w:after="200" w:line="240" w:lineRule="auto"/>
    </w:pPr>
    <w:rPr>
      <w:i/>
      <w:iCs/>
      <w:color w:val="333333" w:themeColor="text2"/>
      <w:sz w:val="18"/>
      <w:szCs w:val="18"/>
    </w:rPr>
  </w:style>
  <w:style w:type="table" w:styleId="TableGrid">
    <w:name w:val="Table Grid"/>
    <w:basedOn w:val="TableNormal"/>
    <w:rsid w:val="0095470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54178A"/>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178A"/>
    <w:rPr>
      <w:rFonts w:ascii="Tahoma" w:hAnsi="Tahoma" w:cs="Tahoma"/>
      <w:sz w:val="16"/>
      <w:szCs w:val="16"/>
    </w:rPr>
  </w:style>
  <w:style w:type="character" w:styleId="Hyperlink">
    <w:name w:val="Hyperlink"/>
    <w:basedOn w:val="DefaultParagraphFont"/>
    <w:uiPriority w:val="99"/>
    <w:unhideWhenUsed/>
    <w:rsid w:val="007E3351"/>
    <w:rPr>
      <w:color w:val="0563C1" w:themeColor="hyperlink"/>
      <w:u w:val="single"/>
    </w:rPr>
  </w:style>
  <w:style w:type="paragraph" w:styleId="Body" w:customStyle="1">
    <w:name w:val="Body"/>
    <w:rsid w:val="00497258"/>
    <w:pPr>
      <w:spacing w:after="0" w:line="240" w:lineRule="auto"/>
    </w:pPr>
    <w:rPr>
      <w:rFonts w:ascii="Times New Roman" w:hAnsi="Times New Roman" w:eastAsia="Arial Unicode MS" w:cs="Arial Unicode MS"/>
      <w:color w:val="000000"/>
      <w:sz w:val="24"/>
      <w:szCs w:val="24"/>
      <w:u w:color="000000"/>
      <w:lang w:val="en-US"/>
    </w:rPr>
  </w:style>
  <w:style w:type="paragraph" w:styleId="Level11-subclausecontent" w:customStyle="1">
    <w:name w:val="Level 1.1-subclause content"/>
    <w:rsid w:val="00497258"/>
    <w:pPr>
      <w:spacing w:after="180" w:line="240" w:lineRule="auto"/>
      <w:ind w:left="709"/>
    </w:pPr>
    <w:rPr>
      <w:rFonts w:ascii="Palatino Linotype" w:hAnsi="Palatino Linotype" w:eastAsia="Palatino Linotype" w:cs="Palatino Linotype"/>
      <w:color w:val="000000"/>
      <w:sz w:val="20"/>
      <w:szCs w:val="20"/>
      <w:u w:color="000000"/>
      <w:lang w:val="en-US"/>
    </w:rPr>
  </w:style>
  <w:style w:type="character" w:styleId="tx2" w:customStyle="1">
    <w:name w:val="tx2"/>
    <w:basedOn w:val="DefaultParagraphFont"/>
    <w:rsid w:val="0095091C"/>
  </w:style>
  <w:style w:type="character" w:styleId="Heading6Char" w:customStyle="1">
    <w:name w:val="Heading 6 Char"/>
    <w:aliases w:val="RCR Sub Bullet Char"/>
    <w:basedOn w:val="DefaultParagraphFont"/>
    <w:link w:val="Heading6"/>
    <w:uiPriority w:val="9"/>
    <w:rsid w:val="00F11319"/>
    <w:rPr>
      <w:rFonts w:ascii="Arial" w:hAnsi="Arial" w:eastAsiaTheme="majorEastAsia" w:cstheme="majorBidi"/>
      <w:lang w:eastAsia="en-US"/>
    </w:rPr>
  </w:style>
  <w:style w:type="table" w:styleId="GridTable4-Accent611" w:customStyle="1">
    <w:name w:val="Grid Table 4 - Accent 611"/>
    <w:basedOn w:val="TableNormal"/>
    <w:uiPriority w:val="49"/>
    <w:rsid w:val="00FE3750"/>
    <w:pPr>
      <w:spacing w:after="0" w:line="240" w:lineRule="auto"/>
    </w:pPr>
    <w:rPr>
      <w:rFonts w:ascii="Times New Roman" w:hAnsi="Times New Roman" w:eastAsia="Times New Roman" w:cs="Times New Roman"/>
      <w:sz w:val="20"/>
      <w:szCs w:val="20"/>
      <w:lang w:eastAsia="en-AU"/>
    </w:rPr>
    <w:tblPr>
      <w:tblStyleRowBandSize w:val="1"/>
      <w:tblStyleColBandSize w:val="1"/>
      <w:tblBorders>
        <w:top w:val="single" w:color="FF4747" w:themeColor="accent6" w:themeTint="99" w:sz="4" w:space="0"/>
        <w:left w:val="single" w:color="FF4747" w:themeColor="accent6" w:themeTint="99" w:sz="4" w:space="0"/>
        <w:bottom w:val="single" w:color="FF4747" w:themeColor="accent6" w:themeTint="99" w:sz="4" w:space="0"/>
        <w:right w:val="single" w:color="FF4747" w:themeColor="accent6" w:themeTint="99" w:sz="4" w:space="0"/>
        <w:insideH w:val="single" w:color="FF4747" w:themeColor="accent6" w:themeTint="99" w:sz="4" w:space="0"/>
        <w:insideV w:val="single" w:color="FF4747" w:themeColor="accent6" w:themeTint="99" w:sz="4" w:space="0"/>
      </w:tblBorders>
    </w:tblPr>
    <w:tblStylePr w:type="firstRow">
      <w:rPr>
        <w:b/>
        <w:bCs/>
        <w:color w:val="FFFFFF" w:themeColor="background1"/>
      </w:rPr>
      <w:tblPr/>
      <w:tcPr>
        <w:tcBorders>
          <w:top w:val="single" w:color="CC0000" w:themeColor="accent6" w:sz="4" w:space="0"/>
          <w:left w:val="single" w:color="CC0000" w:themeColor="accent6" w:sz="4" w:space="0"/>
          <w:bottom w:val="single" w:color="CC0000" w:themeColor="accent6" w:sz="4" w:space="0"/>
          <w:right w:val="single" w:color="CC0000" w:themeColor="accent6" w:sz="4" w:space="0"/>
          <w:insideH w:val="nil"/>
          <w:insideV w:val="nil"/>
        </w:tcBorders>
        <w:shd w:val="clear" w:color="auto" w:fill="CC0000" w:themeFill="accent6"/>
      </w:tcPr>
    </w:tblStylePr>
    <w:tblStylePr w:type="lastRow">
      <w:rPr>
        <w:b/>
        <w:bCs/>
      </w:rPr>
      <w:tblPr/>
      <w:tcPr>
        <w:tcBorders>
          <w:top w:val="double" w:color="CC0000" w:themeColor="accent6" w:sz="4" w:space="0"/>
        </w:tcBorders>
      </w:tcPr>
    </w:tblStylePr>
    <w:tblStylePr w:type="firstCol">
      <w:rPr>
        <w:b/>
        <w:bCs/>
      </w:rPr>
    </w:tblStylePr>
    <w:tblStylePr w:type="lastCol">
      <w:rPr>
        <w:b/>
        <w:bCs/>
      </w:rPr>
    </w:tblStylePr>
    <w:tblStylePr w:type="band1Vert">
      <w:tblPr/>
      <w:tcPr>
        <w:shd w:val="clear" w:color="auto" w:fill="FFC1C1" w:themeFill="accent6" w:themeFillTint="33"/>
      </w:tcPr>
    </w:tblStylePr>
    <w:tblStylePr w:type="band1Horz">
      <w:tblPr/>
      <w:tcPr>
        <w:shd w:val="clear" w:color="auto" w:fill="FFC1C1" w:themeFill="accent6" w:themeFillTint="33"/>
      </w:tcPr>
    </w:tblStylePr>
  </w:style>
  <w:style w:type="paragraph" w:styleId="Default" w:customStyle="1">
    <w:name w:val="Default"/>
    <w:rsid w:val="00AD6C23"/>
    <w:pPr>
      <w:autoSpaceDE w:val="0"/>
      <w:autoSpaceDN w:val="0"/>
      <w:adjustRightInd w:val="0"/>
      <w:spacing w:after="0" w:line="240" w:lineRule="auto"/>
    </w:pPr>
    <w:rPr>
      <w:rFonts w:ascii="Cambria" w:hAnsi="Cambria" w:cs="Cambria"/>
      <w:color w:val="000000"/>
      <w:sz w:val="24"/>
      <w:szCs w:val="24"/>
      <w:lang w:val="en-US"/>
    </w:rPr>
  </w:style>
  <w:style w:type="paragraph" w:styleId="FootnoteText">
    <w:name w:val="footnote text"/>
    <w:basedOn w:val="Normal"/>
    <w:link w:val="FootnoteTextChar"/>
    <w:uiPriority w:val="99"/>
    <w:semiHidden/>
    <w:unhideWhenUsed/>
    <w:rsid w:val="00D5416D"/>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D5416D"/>
    <w:rPr>
      <w:sz w:val="20"/>
      <w:szCs w:val="20"/>
    </w:rPr>
  </w:style>
  <w:style w:type="character" w:styleId="FootnoteReference">
    <w:name w:val="footnote reference"/>
    <w:basedOn w:val="DefaultParagraphFont"/>
    <w:uiPriority w:val="99"/>
    <w:unhideWhenUsed/>
    <w:rsid w:val="00D5416D"/>
    <w:rPr>
      <w:vertAlign w:val="superscript"/>
    </w:rPr>
  </w:style>
  <w:style w:type="character" w:styleId="CommentReference">
    <w:name w:val="annotation reference"/>
    <w:basedOn w:val="DefaultParagraphFont"/>
    <w:uiPriority w:val="99"/>
    <w:semiHidden/>
    <w:unhideWhenUsed/>
    <w:rsid w:val="00AE071E"/>
    <w:rPr>
      <w:sz w:val="16"/>
      <w:szCs w:val="16"/>
    </w:rPr>
  </w:style>
  <w:style w:type="paragraph" w:styleId="CommentText">
    <w:name w:val="annotation text"/>
    <w:basedOn w:val="Normal"/>
    <w:link w:val="CommentTextChar"/>
    <w:uiPriority w:val="99"/>
    <w:semiHidden/>
    <w:unhideWhenUsed/>
    <w:rsid w:val="00AE071E"/>
    <w:pPr>
      <w:spacing w:line="240" w:lineRule="auto"/>
    </w:pPr>
    <w:rPr>
      <w:sz w:val="20"/>
      <w:szCs w:val="20"/>
    </w:rPr>
  </w:style>
  <w:style w:type="character" w:styleId="CommentTextChar" w:customStyle="1">
    <w:name w:val="Comment Text Char"/>
    <w:basedOn w:val="DefaultParagraphFont"/>
    <w:link w:val="CommentText"/>
    <w:uiPriority w:val="99"/>
    <w:semiHidden/>
    <w:rsid w:val="00AE071E"/>
    <w:rPr>
      <w:sz w:val="20"/>
      <w:szCs w:val="20"/>
    </w:rPr>
  </w:style>
  <w:style w:type="paragraph" w:styleId="CommentSubject">
    <w:name w:val="annotation subject"/>
    <w:basedOn w:val="CommentText"/>
    <w:next w:val="CommentText"/>
    <w:link w:val="CommentSubjectChar"/>
    <w:uiPriority w:val="99"/>
    <w:semiHidden/>
    <w:unhideWhenUsed/>
    <w:rsid w:val="00AE071E"/>
    <w:rPr>
      <w:b/>
      <w:bCs/>
    </w:rPr>
  </w:style>
  <w:style w:type="character" w:styleId="CommentSubjectChar" w:customStyle="1">
    <w:name w:val="Comment Subject Char"/>
    <w:basedOn w:val="CommentTextChar"/>
    <w:link w:val="CommentSubject"/>
    <w:uiPriority w:val="99"/>
    <w:semiHidden/>
    <w:rsid w:val="00AE071E"/>
    <w:rPr>
      <w:b/>
      <w:bCs/>
      <w:sz w:val="20"/>
      <w:szCs w:val="20"/>
    </w:rPr>
  </w:style>
  <w:style w:type="table" w:styleId="LightList">
    <w:name w:val="Light List"/>
    <w:basedOn w:val="TableNormal"/>
    <w:uiPriority w:val="61"/>
    <w:rsid w:val="00DC7FA5"/>
    <w:pPr>
      <w:spacing w:after="0" w:line="240" w:lineRule="auto"/>
    </w:pPr>
    <w:rPr>
      <w:rFonts w:eastAsiaTheme="minorHAnsi"/>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styleId="l11" w:customStyle="1">
    <w:name w:val="l11"/>
    <w:basedOn w:val="DefaultParagraphFont"/>
    <w:rsid w:val="0097020D"/>
  </w:style>
  <w:style w:type="paragraph" w:styleId="paragraph" w:customStyle="1">
    <w:name w:val="paragraph"/>
    <w:basedOn w:val="Normal"/>
    <w:rsid w:val="0062104B"/>
    <w:pPr>
      <w:spacing w:before="100" w:beforeAutospacing="1" w:after="100" w:afterAutospacing="1" w:line="240" w:lineRule="auto"/>
    </w:pPr>
    <w:rPr>
      <w:rFonts w:ascii="Times New Roman" w:hAnsi="Times New Roman" w:eastAsia="Times New Roman" w:cs="Times New Roman"/>
      <w:sz w:val="24"/>
      <w:szCs w:val="24"/>
      <w:lang w:val="en-US" w:eastAsia="en-US"/>
    </w:rPr>
  </w:style>
  <w:style w:type="character" w:styleId="normaltextrun" w:customStyle="1">
    <w:name w:val="normaltextrun"/>
    <w:basedOn w:val="DefaultParagraphFont"/>
    <w:rsid w:val="0062104B"/>
  </w:style>
  <w:style w:type="character" w:styleId="eop" w:customStyle="1">
    <w:name w:val="eop"/>
    <w:basedOn w:val="DefaultParagraphFont"/>
    <w:rsid w:val="00621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6064">
      <w:bodyDiv w:val="1"/>
      <w:marLeft w:val="0"/>
      <w:marRight w:val="0"/>
      <w:marTop w:val="0"/>
      <w:marBottom w:val="0"/>
      <w:divBdr>
        <w:top w:val="none" w:sz="0" w:space="0" w:color="auto"/>
        <w:left w:val="none" w:sz="0" w:space="0" w:color="auto"/>
        <w:bottom w:val="none" w:sz="0" w:space="0" w:color="auto"/>
        <w:right w:val="none" w:sz="0" w:space="0" w:color="auto"/>
      </w:divBdr>
    </w:div>
    <w:div w:id="432677507">
      <w:bodyDiv w:val="1"/>
      <w:marLeft w:val="0"/>
      <w:marRight w:val="0"/>
      <w:marTop w:val="0"/>
      <w:marBottom w:val="0"/>
      <w:divBdr>
        <w:top w:val="none" w:sz="0" w:space="0" w:color="auto"/>
        <w:left w:val="none" w:sz="0" w:space="0" w:color="auto"/>
        <w:bottom w:val="none" w:sz="0" w:space="0" w:color="auto"/>
        <w:right w:val="none" w:sz="0" w:space="0" w:color="auto"/>
      </w:divBdr>
    </w:div>
    <w:div w:id="469637372">
      <w:bodyDiv w:val="1"/>
      <w:marLeft w:val="0"/>
      <w:marRight w:val="0"/>
      <w:marTop w:val="0"/>
      <w:marBottom w:val="0"/>
      <w:divBdr>
        <w:top w:val="none" w:sz="0" w:space="0" w:color="auto"/>
        <w:left w:val="none" w:sz="0" w:space="0" w:color="auto"/>
        <w:bottom w:val="none" w:sz="0" w:space="0" w:color="auto"/>
        <w:right w:val="none" w:sz="0" w:space="0" w:color="auto"/>
      </w:divBdr>
    </w:div>
    <w:div w:id="549996483">
      <w:bodyDiv w:val="1"/>
      <w:marLeft w:val="0"/>
      <w:marRight w:val="0"/>
      <w:marTop w:val="0"/>
      <w:marBottom w:val="0"/>
      <w:divBdr>
        <w:top w:val="none" w:sz="0" w:space="0" w:color="auto"/>
        <w:left w:val="none" w:sz="0" w:space="0" w:color="auto"/>
        <w:bottom w:val="none" w:sz="0" w:space="0" w:color="auto"/>
        <w:right w:val="none" w:sz="0" w:space="0" w:color="auto"/>
      </w:divBdr>
    </w:div>
    <w:div w:id="591472862">
      <w:bodyDiv w:val="1"/>
      <w:marLeft w:val="0"/>
      <w:marRight w:val="0"/>
      <w:marTop w:val="0"/>
      <w:marBottom w:val="0"/>
      <w:divBdr>
        <w:top w:val="none" w:sz="0" w:space="0" w:color="auto"/>
        <w:left w:val="none" w:sz="0" w:space="0" w:color="auto"/>
        <w:bottom w:val="none" w:sz="0" w:space="0" w:color="auto"/>
        <w:right w:val="none" w:sz="0" w:space="0" w:color="auto"/>
      </w:divBdr>
    </w:div>
    <w:div w:id="783966019">
      <w:bodyDiv w:val="1"/>
      <w:marLeft w:val="0"/>
      <w:marRight w:val="0"/>
      <w:marTop w:val="0"/>
      <w:marBottom w:val="0"/>
      <w:divBdr>
        <w:top w:val="none" w:sz="0" w:space="0" w:color="auto"/>
        <w:left w:val="none" w:sz="0" w:space="0" w:color="auto"/>
        <w:bottom w:val="none" w:sz="0" w:space="0" w:color="auto"/>
        <w:right w:val="none" w:sz="0" w:space="0" w:color="auto"/>
      </w:divBdr>
    </w:div>
    <w:div w:id="927621033">
      <w:bodyDiv w:val="1"/>
      <w:marLeft w:val="0"/>
      <w:marRight w:val="0"/>
      <w:marTop w:val="0"/>
      <w:marBottom w:val="0"/>
      <w:divBdr>
        <w:top w:val="none" w:sz="0" w:space="0" w:color="auto"/>
        <w:left w:val="none" w:sz="0" w:space="0" w:color="auto"/>
        <w:bottom w:val="none" w:sz="0" w:space="0" w:color="auto"/>
        <w:right w:val="none" w:sz="0" w:space="0" w:color="auto"/>
      </w:divBdr>
    </w:div>
    <w:div w:id="1017584278">
      <w:bodyDiv w:val="1"/>
      <w:marLeft w:val="0"/>
      <w:marRight w:val="0"/>
      <w:marTop w:val="0"/>
      <w:marBottom w:val="0"/>
      <w:divBdr>
        <w:top w:val="none" w:sz="0" w:space="0" w:color="auto"/>
        <w:left w:val="none" w:sz="0" w:space="0" w:color="auto"/>
        <w:bottom w:val="none" w:sz="0" w:space="0" w:color="auto"/>
        <w:right w:val="none" w:sz="0" w:space="0" w:color="auto"/>
      </w:divBdr>
    </w:div>
    <w:div w:id="1138036377">
      <w:bodyDiv w:val="1"/>
      <w:marLeft w:val="0"/>
      <w:marRight w:val="0"/>
      <w:marTop w:val="0"/>
      <w:marBottom w:val="0"/>
      <w:divBdr>
        <w:top w:val="none" w:sz="0" w:space="0" w:color="auto"/>
        <w:left w:val="none" w:sz="0" w:space="0" w:color="auto"/>
        <w:bottom w:val="none" w:sz="0" w:space="0" w:color="auto"/>
        <w:right w:val="none" w:sz="0" w:space="0" w:color="auto"/>
      </w:divBdr>
    </w:div>
    <w:div w:id="1149324707">
      <w:bodyDiv w:val="1"/>
      <w:marLeft w:val="0"/>
      <w:marRight w:val="0"/>
      <w:marTop w:val="0"/>
      <w:marBottom w:val="0"/>
      <w:divBdr>
        <w:top w:val="none" w:sz="0" w:space="0" w:color="auto"/>
        <w:left w:val="none" w:sz="0" w:space="0" w:color="auto"/>
        <w:bottom w:val="none" w:sz="0" w:space="0" w:color="auto"/>
        <w:right w:val="none" w:sz="0" w:space="0" w:color="auto"/>
      </w:divBdr>
    </w:div>
    <w:div w:id="1279289475">
      <w:bodyDiv w:val="1"/>
      <w:marLeft w:val="0"/>
      <w:marRight w:val="0"/>
      <w:marTop w:val="0"/>
      <w:marBottom w:val="0"/>
      <w:divBdr>
        <w:top w:val="none" w:sz="0" w:space="0" w:color="auto"/>
        <w:left w:val="none" w:sz="0" w:space="0" w:color="auto"/>
        <w:bottom w:val="none" w:sz="0" w:space="0" w:color="auto"/>
        <w:right w:val="none" w:sz="0" w:space="0" w:color="auto"/>
      </w:divBdr>
    </w:div>
    <w:div w:id="1378821163">
      <w:bodyDiv w:val="1"/>
      <w:marLeft w:val="0"/>
      <w:marRight w:val="0"/>
      <w:marTop w:val="0"/>
      <w:marBottom w:val="0"/>
      <w:divBdr>
        <w:top w:val="none" w:sz="0" w:space="0" w:color="auto"/>
        <w:left w:val="none" w:sz="0" w:space="0" w:color="auto"/>
        <w:bottom w:val="none" w:sz="0" w:space="0" w:color="auto"/>
        <w:right w:val="none" w:sz="0" w:space="0" w:color="auto"/>
      </w:divBdr>
    </w:div>
    <w:div w:id="1744179392">
      <w:bodyDiv w:val="1"/>
      <w:marLeft w:val="0"/>
      <w:marRight w:val="0"/>
      <w:marTop w:val="0"/>
      <w:marBottom w:val="0"/>
      <w:divBdr>
        <w:top w:val="none" w:sz="0" w:space="0" w:color="auto"/>
        <w:left w:val="none" w:sz="0" w:space="0" w:color="auto"/>
        <w:bottom w:val="none" w:sz="0" w:space="0" w:color="auto"/>
        <w:right w:val="none" w:sz="0" w:space="0" w:color="auto"/>
      </w:divBdr>
      <w:divsChild>
        <w:div w:id="485895741">
          <w:marLeft w:val="0"/>
          <w:marRight w:val="0"/>
          <w:marTop w:val="0"/>
          <w:marBottom w:val="0"/>
          <w:divBdr>
            <w:top w:val="none" w:sz="0" w:space="0" w:color="auto"/>
            <w:left w:val="none" w:sz="0" w:space="0" w:color="auto"/>
            <w:bottom w:val="none" w:sz="0" w:space="0" w:color="auto"/>
            <w:right w:val="none" w:sz="0" w:space="0" w:color="auto"/>
          </w:divBdr>
          <w:divsChild>
            <w:div w:id="309210109">
              <w:marLeft w:val="0"/>
              <w:marRight w:val="0"/>
              <w:marTop w:val="0"/>
              <w:marBottom w:val="0"/>
              <w:divBdr>
                <w:top w:val="none" w:sz="0" w:space="0" w:color="auto"/>
                <w:left w:val="none" w:sz="0" w:space="0" w:color="auto"/>
                <w:bottom w:val="none" w:sz="0" w:space="0" w:color="auto"/>
                <w:right w:val="none" w:sz="0" w:space="0" w:color="auto"/>
              </w:divBdr>
              <w:divsChild>
                <w:div w:id="2050841377">
                  <w:marLeft w:val="0"/>
                  <w:marRight w:val="0"/>
                  <w:marTop w:val="0"/>
                  <w:marBottom w:val="0"/>
                  <w:divBdr>
                    <w:top w:val="none" w:sz="0" w:space="0" w:color="auto"/>
                    <w:left w:val="none" w:sz="0" w:space="0" w:color="auto"/>
                    <w:bottom w:val="none" w:sz="0" w:space="0" w:color="auto"/>
                    <w:right w:val="none" w:sz="0" w:space="0" w:color="auto"/>
                  </w:divBdr>
                  <w:divsChild>
                    <w:div w:id="1549535349">
                      <w:marLeft w:val="0"/>
                      <w:marRight w:val="0"/>
                      <w:marTop w:val="0"/>
                      <w:marBottom w:val="0"/>
                      <w:divBdr>
                        <w:top w:val="none" w:sz="0" w:space="0" w:color="auto"/>
                        <w:left w:val="none" w:sz="0" w:space="0" w:color="auto"/>
                        <w:bottom w:val="none" w:sz="0" w:space="0" w:color="auto"/>
                        <w:right w:val="none" w:sz="0" w:space="0" w:color="auto"/>
                      </w:divBdr>
                      <w:divsChild>
                        <w:div w:id="8608260">
                          <w:marLeft w:val="0"/>
                          <w:marRight w:val="0"/>
                          <w:marTop w:val="0"/>
                          <w:marBottom w:val="0"/>
                          <w:divBdr>
                            <w:top w:val="none" w:sz="0" w:space="0" w:color="auto"/>
                            <w:left w:val="none" w:sz="0" w:space="0" w:color="auto"/>
                            <w:bottom w:val="none" w:sz="0" w:space="0" w:color="auto"/>
                            <w:right w:val="none" w:sz="0" w:space="0" w:color="auto"/>
                          </w:divBdr>
                          <w:divsChild>
                            <w:div w:id="1390034281">
                              <w:marLeft w:val="0"/>
                              <w:marRight w:val="0"/>
                              <w:marTop w:val="0"/>
                              <w:marBottom w:val="0"/>
                              <w:divBdr>
                                <w:top w:val="none" w:sz="0" w:space="0" w:color="auto"/>
                                <w:left w:val="none" w:sz="0" w:space="0" w:color="auto"/>
                                <w:bottom w:val="none" w:sz="0" w:space="0" w:color="auto"/>
                                <w:right w:val="none" w:sz="0" w:space="0" w:color="auto"/>
                              </w:divBdr>
                              <w:divsChild>
                                <w:div w:id="2095585257">
                                  <w:marLeft w:val="0"/>
                                  <w:marRight w:val="0"/>
                                  <w:marTop w:val="0"/>
                                  <w:marBottom w:val="0"/>
                                  <w:divBdr>
                                    <w:top w:val="none" w:sz="0" w:space="0" w:color="auto"/>
                                    <w:left w:val="none" w:sz="0" w:space="0" w:color="auto"/>
                                    <w:bottom w:val="none" w:sz="0" w:space="0" w:color="auto"/>
                                    <w:right w:val="none" w:sz="0" w:space="0" w:color="auto"/>
                                  </w:divBdr>
                                  <w:divsChild>
                                    <w:div w:id="1452818213">
                                      <w:marLeft w:val="0"/>
                                      <w:marRight w:val="0"/>
                                      <w:marTop w:val="0"/>
                                      <w:marBottom w:val="0"/>
                                      <w:divBdr>
                                        <w:top w:val="none" w:sz="0" w:space="0" w:color="auto"/>
                                        <w:left w:val="none" w:sz="0" w:space="0" w:color="auto"/>
                                        <w:bottom w:val="none" w:sz="0" w:space="0" w:color="auto"/>
                                        <w:right w:val="none" w:sz="0" w:space="0" w:color="auto"/>
                                      </w:divBdr>
                                      <w:divsChild>
                                        <w:div w:id="927466515">
                                          <w:marLeft w:val="0"/>
                                          <w:marRight w:val="0"/>
                                          <w:marTop w:val="0"/>
                                          <w:marBottom w:val="0"/>
                                          <w:divBdr>
                                            <w:top w:val="none" w:sz="0" w:space="0" w:color="auto"/>
                                            <w:left w:val="none" w:sz="0" w:space="0" w:color="auto"/>
                                            <w:bottom w:val="none" w:sz="0" w:space="0" w:color="auto"/>
                                            <w:right w:val="none" w:sz="0" w:space="0" w:color="auto"/>
                                          </w:divBdr>
                                          <w:divsChild>
                                            <w:div w:id="328411575">
                                              <w:marLeft w:val="0"/>
                                              <w:marRight w:val="0"/>
                                              <w:marTop w:val="0"/>
                                              <w:marBottom w:val="0"/>
                                              <w:divBdr>
                                                <w:top w:val="none" w:sz="0" w:space="0" w:color="auto"/>
                                                <w:left w:val="none" w:sz="0" w:space="0" w:color="auto"/>
                                                <w:bottom w:val="none" w:sz="0" w:space="0" w:color="auto"/>
                                                <w:right w:val="none" w:sz="0" w:space="0" w:color="auto"/>
                                              </w:divBdr>
                                              <w:divsChild>
                                                <w:div w:id="1891378045">
                                                  <w:marLeft w:val="0"/>
                                                  <w:marRight w:val="0"/>
                                                  <w:marTop w:val="0"/>
                                                  <w:marBottom w:val="0"/>
                                                  <w:divBdr>
                                                    <w:top w:val="none" w:sz="0" w:space="0" w:color="auto"/>
                                                    <w:left w:val="none" w:sz="0" w:space="0" w:color="auto"/>
                                                    <w:bottom w:val="none" w:sz="0" w:space="0" w:color="auto"/>
                                                    <w:right w:val="none" w:sz="0" w:space="0" w:color="auto"/>
                                                  </w:divBdr>
                                                  <w:divsChild>
                                                    <w:div w:id="34503385">
                                                      <w:marLeft w:val="0"/>
                                                      <w:marRight w:val="0"/>
                                                      <w:marTop w:val="0"/>
                                                      <w:marBottom w:val="0"/>
                                                      <w:divBdr>
                                                        <w:top w:val="none" w:sz="0" w:space="0" w:color="auto"/>
                                                        <w:left w:val="none" w:sz="0" w:space="0" w:color="auto"/>
                                                        <w:bottom w:val="none" w:sz="0" w:space="0" w:color="auto"/>
                                                        <w:right w:val="none" w:sz="0" w:space="0" w:color="auto"/>
                                                      </w:divBdr>
                                                      <w:divsChild>
                                                        <w:div w:id="1714622955">
                                                          <w:marLeft w:val="0"/>
                                                          <w:marRight w:val="0"/>
                                                          <w:marTop w:val="0"/>
                                                          <w:marBottom w:val="0"/>
                                                          <w:divBdr>
                                                            <w:top w:val="none" w:sz="0" w:space="0" w:color="auto"/>
                                                            <w:left w:val="none" w:sz="0" w:space="0" w:color="auto"/>
                                                            <w:bottom w:val="none" w:sz="0" w:space="0" w:color="auto"/>
                                                            <w:right w:val="none" w:sz="0" w:space="0" w:color="auto"/>
                                                          </w:divBdr>
                                                          <w:divsChild>
                                                            <w:div w:id="15464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372037">
                                              <w:marLeft w:val="0"/>
                                              <w:marRight w:val="0"/>
                                              <w:marTop w:val="0"/>
                                              <w:marBottom w:val="0"/>
                                              <w:divBdr>
                                                <w:top w:val="none" w:sz="0" w:space="0" w:color="auto"/>
                                                <w:left w:val="none" w:sz="0" w:space="0" w:color="auto"/>
                                                <w:bottom w:val="none" w:sz="0" w:space="0" w:color="auto"/>
                                                <w:right w:val="none" w:sz="0" w:space="0" w:color="auto"/>
                                              </w:divBdr>
                                              <w:divsChild>
                                                <w:div w:id="1942253278">
                                                  <w:marLeft w:val="0"/>
                                                  <w:marRight w:val="0"/>
                                                  <w:marTop w:val="0"/>
                                                  <w:marBottom w:val="0"/>
                                                  <w:divBdr>
                                                    <w:top w:val="none" w:sz="0" w:space="0" w:color="auto"/>
                                                    <w:left w:val="none" w:sz="0" w:space="0" w:color="auto"/>
                                                    <w:bottom w:val="none" w:sz="0" w:space="0" w:color="auto"/>
                                                    <w:right w:val="none" w:sz="0" w:space="0" w:color="auto"/>
                                                  </w:divBdr>
                                                  <w:divsChild>
                                                    <w:div w:id="144317975">
                                                      <w:marLeft w:val="0"/>
                                                      <w:marRight w:val="0"/>
                                                      <w:marTop w:val="0"/>
                                                      <w:marBottom w:val="0"/>
                                                      <w:divBdr>
                                                        <w:top w:val="none" w:sz="0" w:space="0" w:color="auto"/>
                                                        <w:left w:val="none" w:sz="0" w:space="0" w:color="auto"/>
                                                        <w:bottom w:val="none" w:sz="0" w:space="0" w:color="auto"/>
                                                        <w:right w:val="none" w:sz="0" w:space="0" w:color="auto"/>
                                                      </w:divBdr>
                                                      <w:divsChild>
                                                        <w:div w:id="885289892">
                                                          <w:marLeft w:val="0"/>
                                                          <w:marRight w:val="0"/>
                                                          <w:marTop w:val="0"/>
                                                          <w:marBottom w:val="0"/>
                                                          <w:divBdr>
                                                            <w:top w:val="none" w:sz="0" w:space="0" w:color="auto"/>
                                                            <w:left w:val="none" w:sz="0" w:space="0" w:color="auto"/>
                                                            <w:bottom w:val="none" w:sz="0" w:space="0" w:color="auto"/>
                                                            <w:right w:val="none" w:sz="0" w:space="0" w:color="auto"/>
                                                          </w:divBdr>
                                                          <w:divsChild>
                                                            <w:div w:id="1646203482">
                                                              <w:marLeft w:val="0"/>
                                                              <w:marRight w:val="0"/>
                                                              <w:marTop w:val="0"/>
                                                              <w:marBottom w:val="0"/>
                                                              <w:divBdr>
                                                                <w:top w:val="none" w:sz="0" w:space="0" w:color="auto"/>
                                                                <w:left w:val="none" w:sz="0" w:space="0" w:color="auto"/>
                                                                <w:bottom w:val="none" w:sz="0" w:space="0" w:color="auto"/>
                                                                <w:right w:val="none" w:sz="0" w:space="0" w:color="auto"/>
                                                              </w:divBdr>
                                                            </w:div>
                                                            <w:div w:id="160200109">
                                                              <w:marLeft w:val="0"/>
                                                              <w:marRight w:val="0"/>
                                                              <w:marTop w:val="0"/>
                                                              <w:marBottom w:val="0"/>
                                                              <w:divBdr>
                                                                <w:top w:val="none" w:sz="0" w:space="0" w:color="auto"/>
                                                                <w:left w:val="none" w:sz="0" w:space="0" w:color="auto"/>
                                                                <w:bottom w:val="none" w:sz="0" w:space="0" w:color="auto"/>
                                                                <w:right w:val="none" w:sz="0" w:space="0" w:color="auto"/>
                                                              </w:divBdr>
                                                            </w:div>
                                                            <w:div w:id="2777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71928949">
      <w:bodyDiv w:val="1"/>
      <w:marLeft w:val="0"/>
      <w:marRight w:val="0"/>
      <w:marTop w:val="0"/>
      <w:marBottom w:val="0"/>
      <w:divBdr>
        <w:top w:val="none" w:sz="0" w:space="0" w:color="auto"/>
        <w:left w:val="none" w:sz="0" w:space="0" w:color="auto"/>
        <w:bottom w:val="none" w:sz="0" w:space="0" w:color="auto"/>
        <w:right w:val="none" w:sz="0" w:space="0" w:color="auto"/>
      </w:divBdr>
    </w:div>
    <w:div w:id="2115780951">
      <w:bodyDiv w:val="1"/>
      <w:marLeft w:val="0"/>
      <w:marRight w:val="0"/>
      <w:marTop w:val="0"/>
      <w:marBottom w:val="0"/>
      <w:divBdr>
        <w:top w:val="none" w:sz="0" w:space="0" w:color="auto"/>
        <w:left w:val="none" w:sz="0" w:space="0" w:color="auto"/>
        <w:bottom w:val="none" w:sz="0" w:space="0" w:color="auto"/>
        <w:right w:val="none" w:sz="0" w:space="0" w:color="auto"/>
      </w:divBdr>
      <w:divsChild>
        <w:div w:id="719019668">
          <w:marLeft w:val="0"/>
          <w:marRight w:val="0"/>
          <w:marTop w:val="0"/>
          <w:marBottom w:val="0"/>
          <w:divBdr>
            <w:top w:val="none" w:sz="0" w:space="0" w:color="auto"/>
            <w:left w:val="none" w:sz="0" w:space="0" w:color="auto"/>
            <w:bottom w:val="none" w:sz="0" w:space="0" w:color="auto"/>
            <w:right w:val="none" w:sz="0" w:space="0" w:color="auto"/>
          </w:divBdr>
          <w:divsChild>
            <w:div w:id="227619915">
              <w:marLeft w:val="0"/>
              <w:marRight w:val="0"/>
              <w:marTop w:val="0"/>
              <w:marBottom w:val="0"/>
              <w:divBdr>
                <w:top w:val="none" w:sz="0" w:space="0" w:color="auto"/>
                <w:left w:val="none" w:sz="0" w:space="0" w:color="auto"/>
                <w:bottom w:val="none" w:sz="0" w:space="0" w:color="auto"/>
                <w:right w:val="none" w:sz="0" w:space="0" w:color="auto"/>
              </w:divBdr>
              <w:divsChild>
                <w:div w:id="741365553">
                  <w:marLeft w:val="0"/>
                  <w:marRight w:val="0"/>
                  <w:marTop w:val="0"/>
                  <w:marBottom w:val="0"/>
                  <w:divBdr>
                    <w:top w:val="none" w:sz="0" w:space="0" w:color="auto"/>
                    <w:left w:val="none" w:sz="0" w:space="0" w:color="auto"/>
                    <w:bottom w:val="none" w:sz="0" w:space="0" w:color="auto"/>
                    <w:right w:val="none" w:sz="0" w:space="0" w:color="auto"/>
                  </w:divBdr>
                  <w:divsChild>
                    <w:div w:id="329988304">
                      <w:marLeft w:val="0"/>
                      <w:marRight w:val="0"/>
                      <w:marTop w:val="0"/>
                      <w:marBottom w:val="0"/>
                      <w:divBdr>
                        <w:top w:val="none" w:sz="0" w:space="0" w:color="auto"/>
                        <w:left w:val="none" w:sz="0" w:space="0" w:color="auto"/>
                        <w:bottom w:val="none" w:sz="0" w:space="0" w:color="auto"/>
                        <w:right w:val="none" w:sz="0" w:space="0" w:color="auto"/>
                      </w:divBdr>
                      <w:divsChild>
                        <w:div w:id="1638875595">
                          <w:marLeft w:val="0"/>
                          <w:marRight w:val="0"/>
                          <w:marTop w:val="0"/>
                          <w:marBottom w:val="0"/>
                          <w:divBdr>
                            <w:top w:val="none" w:sz="0" w:space="0" w:color="auto"/>
                            <w:left w:val="none" w:sz="0" w:space="0" w:color="auto"/>
                            <w:bottom w:val="none" w:sz="0" w:space="0" w:color="auto"/>
                            <w:right w:val="none" w:sz="0" w:space="0" w:color="auto"/>
                          </w:divBdr>
                          <w:divsChild>
                            <w:div w:id="2141023946">
                              <w:marLeft w:val="0"/>
                              <w:marRight w:val="0"/>
                              <w:marTop w:val="0"/>
                              <w:marBottom w:val="0"/>
                              <w:divBdr>
                                <w:top w:val="none" w:sz="0" w:space="0" w:color="auto"/>
                                <w:left w:val="none" w:sz="0" w:space="0" w:color="auto"/>
                                <w:bottom w:val="none" w:sz="0" w:space="0" w:color="auto"/>
                                <w:right w:val="none" w:sz="0" w:space="0" w:color="auto"/>
                              </w:divBdr>
                              <w:divsChild>
                                <w:div w:id="2118869022">
                                  <w:marLeft w:val="0"/>
                                  <w:marRight w:val="0"/>
                                  <w:marTop w:val="0"/>
                                  <w:marBottom w:val="0"/>
                                  <w:divBdr>
                                    <w:top w:val="none" w:sz="0" w:space="0" w:color="auto"/>
                                    <w:left w:val="none" w:sz="0" w:space="0" w:color="auto"/>
                                    <w:bottom w:val="none" w:sz="0" w:space="0" w:color="auto"/>
                                    <w:right w:val="none" w:sz="0" w:space="0" w:color="auto"/>
                                  </w:divBdr>
                                  <w:divsChild>
                                    <w:div w:id="82528231">
                                      <w:marLeft w:val="0"/>
                                      <w:marRight w:val="0"/>
                                      <w:marTop w:val="0"/>
                                      <w:marBottom w:val="0"/>
                                      <w:divBdr>
                                        <w:top w:val="none" w:sz="0" w:space="0" w:color="auto"/>
                                        <w:left w:val="none" w:sz="0" w:space="0" w:color="auto"/>
                                        <w:bottom w:val="none" w:sz="0" w:space="0" w:color="auto"/>
                                        <w:right w:val="none" w:sz="0" w:space="0" w:color="auto"/>
                                      </w:divBdr>
                                      <w:divsChild>
                                        <w:div w:id="1290283168">
                                          <w:marLeft w:val="0"/>
                                          <w:marRight w:val="0"/>
                                          <w:marTop w:val="0"/>
                                          <w:marBottom w:val="0"/>
                                          <w:divBdr>
                                            <w:top w:val="none" w:sz="0" w:space="0" w:color="auto"/>
                                            <w:left w:val="none" w:sz="0" w:space="0" w:color="auto"/>
                                            <w:bottom w:val="none" w:sz="0" w:space="0" w:color="auto"/>
                                            <w:right w:val="none" w:sz="0" w:space="0" w:color="auto"/>
                                          </w:divBdr>
                                          <w:divsChild>
                                            <w:div w:id="1532836730">
                                              <w:marLeft w:val="0"/>
                                              <w:marRight w:val="0"/>
                                              <w:marTop w:val="0"/>
                                              <w:marBottom w:val="0"/>
                                              <w:divBdr>
                                                <w:top w:val="none" w:sz="0" w:space="0" w:color="auto"/>
                                                <w:left w:val="none" w:sz="0" w:space="0" w:color="auto"/>
                                                <w:bottom w:val="none" w:sz="0" w:space="0" w:color="auto"/>
                                                <w:right w:val="none" w:sz="0" w:space="0" w:color="auto"/>
                                              </w:divBdr>
                                              <w:divsChild>
                                                <w:div w:id="787976">
                                                  <w:marLeft w:val="0"/>
                                                  <w:marRight w:val="0"/>
                                                  <w:marTop w:val="0"/>
                                                  <w:marBottom w:val="0"/>
                                                  <w:divBdr>
                                                    <w:top w:val="none" w:sz="0" w:space="0" w:color="auto"/>
                                                    <w:left w:val="none" w:sz="0" w:space="0" w:color="auto"/>
                                                    <w:bottom w:val="none" w:sz="0" w:space="0" w:color="auto"/>
                                                    <w:right w:val="none" w:sz="0" w:space="0" w:color="auto"/>
                                                  </w:divBdr>
                                                  <w:divsChild>
                                                    <w:div w:id="224072028">
                                                      <w:marLeft w:val="0"/>
                                                      <w:marRight w:val="0"/>
                                                      <w:marTop w:val="0"/>
                                                      <w:marBottom w:val="0"/>
                                                      <w:divBdr>
                                                        <w:top w:val="none" w:sz="0" w:space="0" w:color="auto"/>
                                                        <w:left w:val="none" w:sz="0" w:space="0" w:color="auto"/>
                                                        <w:bottom w:val="none" w:sz="0" w:space="0" w:color="auto"/>
                                                        <w:right w:val="none" w:sz="0" w:space="0" w:color="auto"/>
                                                      </w:divBdr>
                                                      <w:divsChild>
                                                        <w:div w:id="839778925">
                                                          <w:marLeft w:val="0"/>
                                                          <w:marRight w:val="0"/>
                                                          <w:marTop w:val="0"/>
                                                          <w:marBottom w:val="0"/>
                                                          <w:divBdr>
                                                            <w:top w:val="none" w:sz="0" w:space="0" w:color="auto"/>
                                                            <w:left w:val="none" w:sz="0" w:space="0" w:color="auto"/>
                                                            <w:bottom w:val="none" w:sz="0" w:space="0" w:color="auto"/>
                                                            <w:right w:val="none" w:sz="0" w:space="0" w:color="auto"/>
                                                          </w:divBdr>
                                                          <w:divsChild>
                                                            <w:div w:id="1436824371">
                                                              <w:marLeft w:val="0"/>
                                                              <w:marRight w:val="0"/>
                                                              <w:marTop w:val="0"/>
                                                              <w:marBottom w:val="0"/>
                                                              <w:divBdr>
                                                                <w:top w:val="none" w:sz="0" w:space="0" w:color="auto"/>
                                                                <w:left w:val="none" w:sz="0" w:space="0" w:color="auto"/>
                                                                <w:bottom w:val="none" w:sz="0" w:space="0" w:color="auto"/>
                                                                <w:right w:val="none" w:sz="0" w:space="0" w:color="auto"/>
                                                              </w:divBdr>
                                                            </w:div>
                                                            <w:div w:id="86628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jp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efagan@tesla.com"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sla">
  <a:themeElements>
    <a:clrScheme name="Tesla Colors">
      <a:dk1>
        <a:srgbClr val="000000"/>
      </a:dk1>
      <a:lt1>
        <a:sysClr val="window" lastClr="FFFFFF"/>
      </a:lt1>
      <a:dk2>
        <a:srgbClr val="333333"/>
      </a:dk2>
      <a:lt2>
        <a:srgbClr val="CCCCCC"/>
      </a:lt2>
      <a:accent1>
        <a:srgbClr val="CC0000"/>
      </a:accent1>
      <a:accent2>
        <a:srgbClr val="CC0000"/>
      </a:accent2>
      <a:accent3>
        <a:srgbClr val="CC0000"/>
      </a:accent3>
      <a:accent4>
        <a:srgbClr val="CC0000"/>
      </a:accent4>
      <a:accent5>
        <a:srgbClr val="CC0000"/>
      </a:accent5>
      <a:accent6>
        <a:srgbClr val="CC0000"/>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AE82A-2486-44F9-BDCD-B51D0D8C267F}"/>
</file>

<file path=customXml/itemProps2.xml><?xml version="1.0" encoding="utf-8"?>
<ds:datastoreItem xmlns:ds="http://schemas.openxmlformats.org/officeDocument/2006/customXml" ds:itemID="{BC7E88A9-4234-49D8-9DC7-E50B56CF499B}">
  <ds:schemaRefs>
    <ds:schemaRef ds:uri="http://schemas.microsoft.com/sharepoint/v3/contenttype/forms"/>
  </ds:schemaRefs>
</ds:datastoreItem>
</file>

<file path=customXml/itemProps3.xml><?xml version="1.0" encoding="utf-8"?>
<ds:datastoreItem xmlns:ds="http://schemas.openxmlformats.org/officeDocument/2006/customXml" ds:itemID="{9B613192-BD94-4EC6-B06E-129A574B089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a59d7b4-e77e-46bd-9b7f-7237b0c8e4c2"/>
    <ds:schemaRef ds:uri="http://purl.org/dc/elements/1.1/"/>
    <ds:schemaRef ds:uri="http://schemas.microsoft.com/office/2006/metadata/properties"/>
    <ds:schemaRef ds:uri="38d04677-a0bd-4534-95c6-5aae5dabde61"/>
    <ds:schemaRef ds:uri="http://www.w3.org/XML/1998/namespace"/>
    <ds:schemaRef ds:uri="http://purl.org/dc/dcmitype/"/>
  </ds:schemaRefs>
</ds:datastoreItem>
</file>

<file path=customXml/itemProps4.xml><?xml version="1.0" encoding="utf-8"?>
<ds:datastoreItem xmlns:ds="http://schemas.openxmlformats.org/officeDocument/2006/customXml" ds:itemID="{C48F4AF8-563E-4A6E-82A6-7B4BE618687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Tesla Motors, Inc.</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Kenneth Hee</dc:creator>
  <lastModifiedBy>Jenny Gannon</lastModifiedBy>
  <revision>11</revision>
  <lastPrinted>2017-05-26T06:45:00.0000000Z</lastPrinted>
  <dcterms:created xsi:type="dcterms:W3CDTF">2020-07-21T21:52:00.0000000Z</dcterms:created>
  <dcterms:modified xsi:type="dcterms:W3CDTF">2020-07-30T06:28:44.3689839Z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y fmtid="{D5CDD505-2E9C-101B-9397-08002B2CF9AE}" pid="3" name="MSIP_Label_52d06e56-1756-4005-87f1-1edc72dd4bdf_Enabled">
    <vt:lpwstr>true</vt:lpwstr>
  </property>
  <property fmtid="{D5CDD505-2E9C-101B-9397-08002B2CF9AE}" pid="4" name="MSIP_Label_52d06e56-1756-4005-87f1-1edc72dd4bdf_SetDate">
    <vt:lpwstr>2020-07-20T02:22:22Z</vt:lpwstr>
  </property>
  <property fmtid="{D5CDD505-2E9C-101B-9397-08002B2CF9AE}" pid="5" name="MSIP_Label_52d06e56-1756-4005-87f1-1edc72dd4bdf_Method">
    <vt:lpwstr>Standard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cf07b442-d786-461a-80ad-000094440187</vt:lpwstr>
  </property>
  <property fmtid="{D5CDD505-2E9C-101B-9397-08002B2CF9AE}" pid="9" name="MSIP_Label_52d06e56-1756-4005-87f1-1edc72dd4bdf_ContentBits">
    <vt:lpwstr>0</vt:lpwstr>
  </property>
</Properties>
</file>