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1196" w:type="dxa"/>
        <w:tblInd w:w="0" w:type="dxa"/>
        <w:tblCellMar>
          <w:top w:w="16" w:type="dxa"/>
          <w:right w:w="115" w:type="dxa"/>
        </w:tblCellMar>
        <w:tblLook w:val="04A0" w:firstRow="1" w:lastRow="0" w:firstColumn="1" w:lastColumn="0" w:noHBand="0" w:noVBand="1"/>
      </w:tblPr>
      <w:tblGrid>
        <w:gridCol w:w="11196"/>
      </w:tblGrid>
      <w:tr w:rsidR="004E4F37" w14:paraId="5ED05657" w14:textId="77777777">
        <w:trPr>
          <w:trHeight w:val="254"/>
        </w:trPr>
        <w:tc>
          <w:tcPr>
            <w:tcW w:w="11196" w:type="dxa"/>
            <w:tcBorders>
              <w:top w:val="single" w:sz="36" w:space="0" w:color="F4B29B"/>
              <w:left w:val="nil"/>
              <w:bottom w:val="single" w:sz="36" w:space="0" w:color="918485"/>
              <w:right w:val="nil"/>
            </w:tcBorders>
            <w:shd w:val="clear" w:color="auto" w:fill="D34817"/>
          </w:tcPr>
          <w:p w14:paraId="6856A3A1" w14:textId="77777777" w:rsidR="004E4F37" w:rsidRDefault="00381F1B" w:rsidP="002B3103">
            <w:r>
              <w:t xml:space="preserve"> </w:t>
            </w:r>
          </w:p>
        </w:tc>
      </w:tr>
    </w:tbl>
    <w:p w14:paraId="798D354C" w14:textId="4439761E" w:rsidR="00D242BC" w:rsidRDefault="00381F1B" w:rsidP="002B3103">
      <w:r>
        <w:rPr>
          <w:rFonts w:ascii="Perpetua" w:eastAsia="Perpetua" w:hAnsi="Perpetua" w:cs="Perpetua"/>
          <w:sz w:val="8"/>
        </w:rPr>
        <w:t xml:space="preserve">  </w:t>
      </w:r>
      <w:r>
        <w:t xml:space="preserve"> </w:t>
      </w:r>
      <w:r w:rsidR="00D242BC">
        <w:tab/>
      </w:r>
      <w:r w:rsidR="00D242BC">
        <w:tab/>
      </w:r>
    </w:p>
    <w:p w14:paraId="7EB0C99F" w14:textId="4FAB0441" w:rsidR="00460D69" w:rsidRDefault="00BD405C" w:rsidP="002B3103">
      <w:r w:rsidRPr="00BD405C">
        <w:rPr>
          <w:noProof/>
        </w:rPr>
        <w:drawing>
          <wp:anchor distT="0" distB="0" distL="114300" distR="114300" simplePos="0" relativeHeight="251660288" behindDoc="0" locked="0" layoutInCell="1" allowOverlap="1" wp14:anchorId="24991F38" wp14:editId="15A6A4BB">
            <wp:simplePos x="0" y="0"/>
            <wp:positionH relativeFrom="column">
              <wp:posOffset>5753876</wp:posOffset>
            </wp:positionH>
            <wp:positionV relativeFrom="paragraph">
              <wp:posOffset>12559</wp:posOffset>
            </wp:positionV>
            <wp:extent cx="906780" cy="970280"/>
            <wp:effectExtent l="0" t="0" r="762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906780" cy="970280"/>
                    </a:xfrm>
                    <a:prstGeom prst="rect">
                      <a:avLst/>
                    </a:prstGeom>
                  </pic:spPr>
                </pic:pic>
              </a:graphicData>
            </a:graphic>
          </wp:anchor>
        </w:drawing>
      </w:r>
      <w:r w:rsidR="00812F75">
        <w:t>27 July 2020</w:t>
      </w:r>
    </w:p>
    <w:p w14:paraId="6ECF205B" w14:textId="77777777" w:rsidR="006C2B4F" w:rsidRPr="00615271" w:rsidRDefault="006C2B4F" w:rsidP="002B3103"/>
    <w:p w14:paraId="57A963A3" w14:textId="5370C1A2" w:rsidR="00812F75" w:rsidRDefault="00812F75" w:rsidP="002B3103">
      <w:pPr>
        <w:contextualSpacing/>
      </w:pPr>
      <w:r>
        <w:t>The Chief Executive</w:t>
      </w:r>
      <w:r w:rsidR="00BD405C" w:rsidRPr="00BD405C">
        <w:rPr>
          <w:noProof/>
        </w:rPr>
        <w:t xml:space="preserve"> </w:t>
      </w:r>
    </w:p>
    <w:p w14:paraId="742ACDCF" w14:textId="6AF54412" w:rsidR="00EA4DED" w:rsidRDefault="00812F75" w:rsidP="002B3103">
      <w:pPr>
        <w:contextualSpacing/>
      </w:pPr>
      <w:r>
        <w:t>Energy Security Board</w:t>
      </w:r>
    </w:p>
    <w:p w14:paraId="5917C0B1" w14:textId="457DFF32" w:rsidR="00812F75" w:rsidRDefault="00812F75" w:rsidP="002B3103">
      <w:pPr>
        <w:contextualSpacing/>
      </w:pPr>
      <w:r>
        <w:t>Level 15, 60 Castlereagh Street</w:t>
      </w:r>
    </w:p>
    <w:p w14:paraId="087AE6D9" w14:textId="5A3261AA" w:rsidR="00812F75" w:rsidRPr="00615271" w:rsidRDefault="00812F75" w:rsidP="002B3103">
      <w:pPr>
        <w:contextualSpacing/>
      </w:pPr>
      <w:r>
        <w:t>Sydney NSW 2000</w:t>
      </w:r>
    </w:p>
    <w:p w14:paraId="159C9DA3" w14:textId="77777777" w:rsidR="00460D69" w:rsidRPr="00615271" w:rsidRDefault="00460D69" w:rsidP="002B3103">
      <w:r w:rsidRPr="00615271">
        <w:t xml:space="preserve"> </w:t>
      </w:r>
    </w:p>
    <w:p w14:paraId="395A8DE6" w14:textId="5BD59A40" w:rsidR="00460D69" w:rsidRPr="00615271" w:rsidRDefault="00460D69" w:rsidP="002B3103">
      <w:r w:rsidRPr="00615271">
        <w:t xml:space="preserve">By email – </w:t>
      </w:r>
      <w:r w:rsidR="00812F75">
        <w:t>info</w:t>
      </w:r>
      <w:r w:rsidR="00EA4DED" w:rsidRPr="00615271">
        <w:t>@</w:t>
      </w:r>
      <w:r w:rsidR="00812F75">
        <w:t>esb.org</w:t>
      </w:r>
      <w:r w:rsidR="00EA4DED" w:rsidRPr="00615271">
        <w:t>.au</w:t>
      </w:r>
    </w:p>
    <w:p w14:paraId="0780309D" w14:textId="77777777" w:rsidR="00BD405C" w:rsidRDefault="00BD405C" w:rsidP="002B3103"/>
    <w:p w14:paraId="45F37DF2" w14:textId="28BD76B8" w:rsidR="00460D69" w:rsidRPr="00615271" w:rsidRDefault="00460D69" w:rsidP="002B3103">
      <w:r w:rsidRPr="00615271">
        <w:t xml:space="preserve">Dear </w:t>
      </w:r>
      <w:r w:rsidR="00812F75">
        <w:t>Mr Barr,</w:t>
      </w:r>
    </w:p>
    <w:p w14:paraId="293394C4" w14:textId="77777777" w:rsidR="00460D69" w:rsidRDefault="00460D69" w:rsidP="002B3103">
      <w:r>
        <w:t xml:space="preserve"> </w:t>
      </w:r>
    </w:p>
    <w:p w14:paraId="7C0A1B91" w14:textId="77777777" w:rsidR="00812F75" w:rsidRDefault="00812F75" w:rsidP="00BD405C">
      <w:pPr>
        <w:pStyle w:val="Heading1"/>
        <w:spacing w:after="16"/>
        <w:ind w:left="709"/>
        <w:rPr>
          <w:sz w:val="21"/>
        </w:rPr>
      </w:pPr>
      <w:r>
        <w:rPr>
          <w:sz w:val="21"/>
        </w:rPr>
        <w:t xml:space="preserve">The Customer Advocate – </w:t>
      </w:r>
    </w:p>
    <w:p w14:paraId="3ADEF39A" w14:textId="70E4291C" w:rsidR="00460D69" w:rsidRDefault="00812F75" w:rsidP="00BD405C">
      <w:pPr>
        <w:pStyle w:val="Heading1"/>
        <w:spacing w:after="16"/>
        <w:ind w:left="709"/>
      </w:pPr>
      <w:r>
        <w:rPr>
          <w:sz w:val="21"/>
        </w:rPr>
        <w:t>Response to ESB Governance of DER Technical Standards Consultation Paper</w:t>
      </w:r>
    </w:p>
    <w:p w14:paraId="163430F7" w14:textId="77777777" w:rsidR="00460D69" w:rsidRDefault="00460D69" w:rsidP="002B3103">
      <w:r>
        <w:t xml:space="preserve">  </w:t>
      </w:r>
    </w:p>
    <w:p w14:paraId="633B5DB1" w14:textId="5AC79D84" w:rsidR="00812F75" w:rsidRDefault="00812F75" w:rsidP="002B3103">
      <w:r>
        <w:t>Thank you for the opportunity to</w:t>
      </w:r>
      <w:r w:rsidR="000A43C6">
        <w:t xml:space="preserve"> respond</w:t>
      </w:r>
      <w:r>
        <w:t xml:space="preserve"> to the </w:t>
      </w:r>
      <w:r w:rsidR="000A43C6">
        <w:t xml:space="preserve">Governance of DER Technical Standards </w:t>
      </w:r>
      <w:r>
        <w:t xml:space="preserve">consultation paper. </w:t>
      </w:r>
    </w:p>
    <w:p w14:paraId="66CD5AC5" w14:textId="54EA414A" w:rsidR="00FB1D75" w:rsidRDefault="00812F75" w:rsidP="002B3103">
      <w:r>
        <w:t xml:space="preserve">The </w:t>
      </w:r>
      <w:r w:rsidR="000A43C6">
        <w:t xml:space="preserve">continued development </w:t>
      </w:r>
      <w:r>
        <w:t xml:space="preserve">of </w:t>
      </w:r>
      <w:r w:rsidR="00F1568B">
        <w:t>effective and practical</w:t>
      </w:r>
      <w:r w:rsidR="000A43C6">
        <w:t xml:space="preserve"> </w:t>
      </w:r>
      <w:r>
        <w:t xml:space="preserve">DER technical standards is just one of a range of </w:t>
      </w:r>
      <w:r w:rsidR="00F1568B">
        <w:t xml:space="preserve">issues </w:t>
      </w:r>
      <w:r>
        <w:t xml:space="preserve">that </w:t>
      </w:r>
      <w:r w:rsidR="00632296">
        <w:t xml:space="preserve">are </w:t>
      </w:r>
      <w:r>
        <w:t>impact</w:t>
      </w:r>
      <w:r w:rsidR="00632296">
        <w:t>ing</w:t>
      </w:r>
      <w:r>
        <w:t xml:space="preserve"> the increasing number of energy consumers who have chosen to invest in advanced energy services</w:t>
      </w:r>
      <w:r w:rsidR="000A43C6">
        <w:t>,</w:t>
      </w:r>
      <w:r>
        <w:t xml:space="preserve"> whether </w:t>
      </w:r>
      <w:r w:rsidR="00F1568B">
        <w:t xml:space="preserve">they </w:t>
      </w:r>
      <w:r>
        <w:t xml:space="preserve">be flexible demand through off-peak storage hot water, rooftop solar PV or </w:t>
      </w:r>
      <w:r w:rsidR="00632296">
        <w:t xml:space="preserve">committing energy storage to </w:t>
      </w:r>
      <w:r>
        <w:t>participat</w:t>
      </w:r>
      <w:r w:rsidR="00632296">
        <w:t>e</w:t>
      </w:r>
      <w:r>
        <w:t xml:space="preserve"> in a virtual power station. The DER landscape is continuing to increase in complexity</w:t>
      </w:r>
      <w:r w:rsidR="00DE7DBB">
        <w:t xml:space="preserve"> and scale </w:t>
      </w:r>
      <w:r>
        <w:t xml:space="preserve">in an environment of tension and varying objectives of retailers, network providers, </w:t>
      </w:r>
      <w:r w:rsidR="00DE7DBB">
        <w:t xml:space="preserve">governments, </w:t>
      </w:r>
      <w:r>
        <w:t xml:space="preserve">the market operator, new market entrants and of course consumers. </w:t>
      </w:r>
    </w:p>
    <w:p w14:paraId="4E2BDD65" w14:textId="389D77BD" w:rsidR="00632296" w:rsidRDefault="00632296" w:rsidP="002B3103">
      <w:r>
        <w:t xml:space="preserve">The implications of the rapid growth in Distributed Energy Resources (DER) in terms of </w:t>
      </w:r>
      <w:r w:rsidR="000B54B6">
        <w:t xml:space="preserve">risks to the stable operation and efficient </w:t>
      </w:r>
      <w:r>
        <w:t xml:space="preserve">investment in networks are becoming </w:t>
      </w:r>
      <w:r w:rsidR="000B54B6">
        <w:t>clear to those associated with DER policy and implementation</w:t>
      </w:r>
      <w:r>
        <w:t>.</w:t>
      </w:r>
      <w:r w:rsidR="000B54B6">
        <w:t xml:space="preserve"> Those risks are just becoming visible to consumers through the possibility of </w:t>
      </w:r>
      <w:r w:rsidR="00F1568B">
        <w:t xml:space="preserve">the </w:t>
      </w:r>
      <w:r w:rsidR="000B54B6">
        <w:t>curtailment of DER</w:t>
      </w:r>
      <w:r w:rsidR="00F1568B">
        <w:t xml:space="preserve"> output</w:t>
      </w:r>
      <w:r w:rsidR="000B54B6">
        <w:t>, increased procedural complexity of connections</w:t>
      </w:r>
      <w:r w:rsidR="00F1568B">
        <w:t>,</w:t>
      </w:r>
      <w:r w:rsidR="000B54B6">
        <w:t xml:space="preserve"> the need for </w:t>
      </w:r>
      <w:r w:rsidR="00F1568B">
        <w:t xml:space="preserve">additional </w:t>
      </w:r>
      <w:r w:rsidR="000B54B6">
        <w:t xml:space="preserve">long-term investment </w:t>
      </w:r>
      <w:r w:rsidR="00F1568B">
        <w:t>in networks and ultimately new costs to consumers with and without DER</w:t>
      </w:r>
      <w:r w:rsidR="000B54B6">
        <w:t>.</w:t>
      </w:r>
    </w:p>
    <w:p w14:paraId="237CD58D" w14:textId="3E5B60A6" w:rsidR="000A43C6" w:rsidRDefault="000A43C6" w:rsidP="002B3103">
      <w:r>
        <w:t xml:space="preserve">Therefore, taking steps to provide a level of oversight and harmonisation that can hopefully deliver clarity, efficiency and lower prices for </w:t>
      </w:r>
      <w:r w:rsidR="00632296">
        <w:t xml:space="preserve">all </w:t>
      </w:r>
      <w:r>
        <w:t>consumers</w:t>
      </w:r>
      <w:r w:rsidR="00632296">
        <w:t>, not just those who choose to invest in DER,</w:t>
      </w:r>
      <w:r>
        <w:t xml:space="preserve"> is a welcome initiative. </w:t>
      </w:r>
    </w:p>
    <w:p w14:paraId="0C58DA53" w14:textId="1446FD95" w:rsidR="00C715AB" w:rsidRDefault="00C715AB" w:rsidP="002B3103">
      <w:r>
        <w:t xml:space="preserve">The plethora of </w:t>
      </w:r>
      <w:r w:rsidR="003222A0">
        <w:t xml:space="preserve">reports, recommendations and </w:t>
      </w:r>
      <w:r>
        <w:t xml:space="preserve">initiatives </w:t>
      </w:r>
      <w:r w:rsidR="00F1568B">
        <w:t xml:space="preserve">related to the increase in </w:t>
      </w:r>
      <w:r>
        <w:t xml:space="preserve">DER is daunting and very confusing. </w:t>
      </w:r>
      <w:r w:rsidR="00056E86">
        <w:t xml:space="preserve">The </w:t>
      </w:r>
      <w:r w:rsidR="00F1568B">
        <w:t xml:space="preserve">finding </w:t>
      </w:r>
      <w:r>
        <w:t xml:space="preserve">by </w:t>
      </w:r>
      <w:proofErr w:type="spellStart"/>
      <w:r>
        <w:t>Sapere</w:t>
      </w:r>
      <w:proofErr w:type="spellEnd"/>
      <w:r>
        <w:t xml:space="preserve"> / </w:t>
      </w:r>
      <w:proofErr w:type="spellStart"/>
      <w:r>
        <w:t>CutlerMerz</w:t>
      </w:r>
      <w:proofErr w:type="spellEnd"/>
      <w:r w:rsidR="00056E86">
        <w:t xml:space="preserve">, in </w:t>
      </w:r>
      <w:r w:rsidR="00F1568B">
        <w:t xml:space="preserve">their recent study </w:t>
      </w:r>
      <w:r w:rsidR="00056E86">
        <w:t>that</w:t>
      </w:r>
      <w:r>
        <w:t xml:space="preserve"> “</w:t>
      </w:r>
      <w:r w:rsidRPr="00C715AB">
        <w:rPr>
          <w:i/>
          <w:iCs/>
        </w:rPr>
        <w:t>The current lack of coordination, planning, and resourcing, and slow pace of decision making within the various governance arrangements for DER technical standards in place across Australia, together mean that DER systems deployed today are unlikely to be able to deliver the performance levels and service levels required</w:t>
      </w:r>
      <w:r>
        <w:t>”</w:t>
      </w:r>
      <w:r w:rsidR="00056E86">
        <w:t xml:space="preserve"> aligns well with the experiences of those who have any level of involvement with the current DER activities.</w:t>
      </w:r>
    </w:p>
    <w:p w14:paraId="47E0F789" w14:textId="539E6A66" w:rsidR="00C715AB" w:rsidRDefault="00C715AB" w:rsidP="002B3103">
      <w:r>
        <w:t>Sadly, the same comment can be made for many other aspects of the integration of DER, including the establishment of effective metering,  the adoption of appropriate tariffs and the role of demand response in maintaining an efficient and stable environment for energy consumers.</w:t>
      </w:r>
    </w:p>
    <w:p w14:paraId="67C0F5FE" w14:textId="080C3DD8" w:rsidR="00DE7DBB" w:rsidRDefault="00056E86" w:rsidP="002B3103">
      <w:r>
        <w:t>T</w:t>
      </w:r>
      <w:r w:rsidR="00DE7DBB">
        <w:t xml:space="preserve">he ESB’s DER integration objective to ‘optimise the benefits of DER investment for all energy system users’ encompasses a wide range of actions across the energy landscape, including demand-side </w:t>
      </w:r>
      <w:r w:rsidR="00DE7DBB">
        <w:lastRenderedPageBreak/>
        <w:t xml:space="preserve">responses through incentives for the installation of appropriate appliances, the application of tariffs to encourage optimal use of DER and alignment – and in some cases compromise – of the market objectives of various entities. </w:t>
      </w:r>
    </w:p>
    <w:p w14:paraId="146E4047" w14:textId="7FE062B7" w:rsidR="000B54B6" w:rsidRDefault="000B54B6" w:rsidP="002B3103">
      <w:r>
        <w:t xml:space="preserve">This initiative to </w:t>
      </w:r>
      <w:r w:rsidR="00045696">
        <w:t xml:space="preserve">establish greater governance around DER technical standards is commended; however it is still unclear whether a new committee in itself will be successful to address the obstacles that have been encountered to date in the attempts to establish </w:t>
      </w:r>
      <w:r w:rsidR="00902529">
        <w:t xml:space="preserve">effective </w:t>
      </w:r>
      <w:r w:rsidR="00045696">
        <w:t>technical governance. As noted in the ARENA DER Technology Integration Functional Framework report of only some weeks ago, “</w:t>
      </w:r>
      <w:r w:rsidR="00045696" w:rsidRPr="00045696">
        <w:rPr>
          <w:i/>
          <w:iCs/>
        </w:rPr>
        <w:t>recent engagement has informed ARENA that many stakeholders – including industry, consumer groups and policy makers – struggle to understand the breadth of the current work underway on DER issues and the nature of ARENA’s and others’ more complex DER projects (i.e. what they are seeking to achieve, their method and approach, and how they relate to each other and other work underway by government agencies, market authorities, industry and consumer associations)</w:t>
      </w:r>
      <w:r w:rsidR="00045696">
        <w:t>.”</w:t>
      </w:r>
    </w:p>
    <w:p w14:paraId="45C5BF43" w14:textId="77777777" w:rsidR="00DC2BC8" w:rsidRDefault="00DE7DBB" w:rsidP="002B3103">
      <w:r>
        <w:t xml:space="preserve">Similarly, it is not clear how the </w:t>
      </w:r>
      <w:r w:rsidR="00BD405C">
        <w:t xml:space="preserve">current </w:t>
      </w:r>
      <w:r>
        <w:t xml:space="preserve">initiatives regarding technical standards and </w:t>
      </w:r>
      <w:r w:rsidR="00BD405C">
        <w:t>operability</w:t>
      </w:r>
      <w:r>
        <w:t xml:space="preserve"> of DER </w:t>
      </w:r>
      <w:r w:rsidR="00BD405C">
        <w:t xml:space="preserve">presently </w:t>
      </w:r>
      <w:r>
        <w:t xml:space="preserve">under way, such as the proposed actions by the SA government </w:t>
      </w:r>
      <w:r w:rsidR="00BD405C">
        <w:t xml:space="preserve">and the rule change proposed by AEMO, will transfer (if, in fact, transfer is feasible) to a new governance structure. </w:t>
      </w:r>
    </w:p>
    <w:p w14:paraId="615B4800" w14:textId="5A974428" w:rsidR="00200947" w:rsidRDefault="00200947" w:rsidP="002B3103">
      <w:r>
        <w:t xml:space="preserve">The ESB’s DER Integration Workplan of October 2019 </w:t>
      </w:r>
      <w:r w:rsidR="00DC2BC8">
        <w:t xml:space="preserve">assists in clarifying the framework for a future network, but even that document </w:t>
      </w:r>
      <w:r>
        <w:t xml:space="preserve">suggests AEMO is the </w:t>
      </w:r>
      <w:r w:rsidR="00056E86">
        <w:t>lead authority for technical integration.</w:t>
      </w:r>
    </w:p>
    <w:p w14:paraId="69F1317C" w14:textId="7AE26DCF" w:rsidR="00DE7DBB" w:rsidRDefault="00DC2BC8" w:rsidP="002B3103">
      <w:r>
        <w:t xml:space="preserve">In summary, action to establish the role of the AEMC / ESB as a coordinator, focus and expediter of the important changes needed in our industry is </w:t>
      </w:r>
      <w:r w:rsidR="00741056">
        <w:t xml:space="preserve">cautiously </w:t>
      </w:r>
      <w:r>
        <w:t>applauded. However, clarity</w:t>
      </w:r>
      <w:r w:rsidR="003222A0">
        <w:t>,</w:t>
      </w:r>
      <w:r>
        <w:t xml:space="preserve"> consensus </w:t>
      </w:r>
      <w:r w:rsidR="003222A0">
        <w:t xml:space="preserve">and commitment </w:t>
      </w:r>
      <w:r>
        <w:t xml:space="preserve">on how this new proposed governance will deliver timely and deliverable benefits for industry and particular consumers is critical. </w:t>
      </w:r>
    </w:p>
    <w:p w14:paraId="5C3AC449" w14:textId="2604C25F" w:rsidR="00BD405C" w:rsidRDefault="00DE7DBB" w:rsidP="002B3103">
      <w:r>
        <w:t xml:space="preserve">Section 2 </w:t>
      </w:r>
      <w:r w:rsidR="006C2B4F">
        <w:t xml:space="preserve">of this letter </w:t>
      </w:r>
      <w:r>
        <w:t xml:space="preserve">covers the response to the 8 questions raised in the consultation paper. </w:t>
      </w:r>
    </w:p>
    <w:p w14:paraId="5CDF1828" w14:textId="6FF85A83" w:rsidR="00BD405C" w:rsidRDefault="00BD405C" w:rsidP="002B3103">
      <w:r>
        <w:t>Thank you once again for the opportunity to respond to this important consultation.</w:t>
      </w:r>
    </w:p>
    <w:p w14:paraId="103FD87C" w14:textId="319752EB" w:rsidR="00BD405C" w:rsidRDefault="00BD405C" w:rsidP="002B3103"/>
    <w:p w14:paraId="1554D36C" w14:textId="13CD1952" w:rsidR="002B3103" w:rsidRDefault="002B3103" w:rsidP="002B3103">
      <w:r>
        <w:t>(signed)</w:t>
      </w:r>
    </w:p>
    <w:p w14:paraId="03B899FD" w14:textId="77777777" w:rsidR="00BD405C" w:rsidRDefault="00BD405C" w:rsidP="002B3103">
      <w:r>
        <w:t>Mike Swanston</w:t>
      </w:r>
    </w:p>
    <w:p w14:paraId="324C92EB" w14:textId="6AC94E52" w:rsidR="000A43C6" w:rsidRPr="002B3103" w:rsidRDefault="00BD405C" w:rsidP="002B3103">
      <w:pPr>
        <w:rPr>
          <w:i/>
          <w:iCs/>
        </w:rPr>
      </w:pPr>
      <w:r w:rsidRPr="002B3103">
        <w:rPr>
          <w:i/>
          <w:iCs/>
        </w:rPr>
        <w:t>The Customer Advocate</w:t>
      </w:r>
      <w:r w:rsidR="00DE7DBB" w:rsidRPr="002B3103">
        <w:rPr>
          <w:i/>
          <w:iCs/>
        </w:rPr>
        <w:t xml:space="preserve"> </w:t>
      </w:r>
    </w:p>
    <w:p w14:paraId="74BADAD4" w14:textId="7510200B" w:rsidR="00812F75" w:rsidRDefault="00812F75" w:rsidP="002B3103"/>
    <w:p w14:paraId="3850E503" w14:textId="30229686" w:rsidR="00BD405C" w:rsidRDefault="00BD405C" w:rsidP="002B3103"/>
    <w:p w14:paraId="39F55D4F" w14:textId="1509763F" w:rsidR="006C2B4F" w:rsidRDefault="006C2B4F" w:rsidP="002B3103"/>
    <w:p w14:paraId="2709FA7F" w14:textId="77777777" w:rsidR="006C2B4F" w:rsidRDefault="006C2B4F" w:rsidP="002B3103"/>
    <w:p w14:paraId="7675926D" w14:textId="77777777" w:rsidR="00DC2BC8" w:rsidRDefault="00DC2BC8" w:rsidP="002B3103">
      <w:r>
        <w:br w:type="page"/>
      </w:r>
    </w:p>
    <w:p w14:paraId="52B93C98" w14:textId="3E69A898" w:rsidR="006C2B4F" w:rsidRPr="002B3103" w:rsidRDefault="006C2B4F" w:rsidP="002B3103">
      <w:pPr>
        <w:rPr>
          <w:b/>
          <w:bCs/>
        </w:rPr>
      </w:pPr>
      <w:r w:rsidRPr="002B3103">
        <w:rPr>
          <w:b/>
          <w:bCs/>
        </w:rPr>
        <w:lastRenderedPageBreak/>
        <w:t>Response to questions</w:t>
      </w:r>
    </w:p>
    <w:p w14:paraId="3CC4A60A" w14:textId="1FC5D038" w:rsidR="006C2B4F" w:rsidRPr="003222A0" w:rsidRDefault="006C2B4F" w:rsidP="002B3103">
      <w:pPr>
        <w:pStyle w:val="Heading2"/>
      </w:pPr>
      <w:r w:rsidRPr="003222A0">
        <w:t xml:space="preserve">Support to establish a governance committee </w:t>
      </w:r>
    </w:p>
    <w:p w14:paraId="02D1ADF8" w14:textId="2B130E9C" w:rsidR="006C2B4F" w:rsidRPr="002B3103" w:rsidRDefault="003222A0" w:rsidP="002B3103">
      <w:r>
        <w:t xml:space="preserve">The establishment of a stronger </w:t>
      </w:r>
      <w:r w:rsidRPr="002B3103">
        <w:t xml:space="preserve">level of governance of DER technical standards is supported, on the understanding that </w:t>
      </w:r>
      <w:r w:rsidR="002B3103">
        <w:t xml:space="preserve">it is clear that </w:t>
      </w:r>
      <w:r w:rsidRPr="002B3103">
        <w:t xml:space="preserve">the current arrangements cannot be reasonably ‘fixed’ </w:t>
      </w:r>
      <w:r w:rsidR="002B3103" w:rsidRPr="002B3103">
        <w:t xml:space="preserve">with targeted interventions </w:t>
      </w:r>
      <w:r w:rsidR="00902529">
        <w:t xml:space="preserve">within the existing arrangements </w:t>
      </w:r>
      <w:r w:rsidR="00947048" w:rsidRPr="002B3103">
        <w:t xml:space="preserve">in the first instance </w:t>
      </w:r>
      <w:r w:rsidRPr="002B3103">
        <w:t xml:space="preserve">to deliver a more harmonised and efficient process. </w:t>
      </w:r>
    </w:p>
    <w:p w14:paraId="5E488163" w14:textId="5158797B" w:rsidR="00947048" w:rsidRDefault="00947048" w:rsidP="002B3103">
      <w:r w:rsidRPr="002B3103">
        <w:t xml:space="preserve">The complexity of </w:t>
      </w:r>
      <w:r w:rsidR="002B3103">
        <w:t xml:space="preserve">the relationships in </w:t>
      </w:r>
      <w:r w:rsidRPr="002B3103">
        <w:t xml:space="preserve">establishing </w:t>
      </w:r>
      <w:r w:rsidR="00902529">
        <w:t xml:space="preserve">new governance </w:t>
      </w:r>
      <w:r w:rsidR="002B3103" w:rsidRPr="002B3103">
        <w:t>arrangements cannot be underestimated, particularly in the collaboration, compromise and balance needed to meet</w:t>
      </w:r>
      <w:r w:rsidR="002B3103">
        <w:t xml:space="preserve"> competing objectives in a timely manner. Clearer indication of the costs to consumers and the industry to establish and operate such a governance structure need</w:t>
      </w:r>
      <w:r w:rsidR="00902529">
        <w:t>s</w:t>
      </w:r>
      <w:r w:rsidR="002B3103">
        <w:t xml:space="preserve"> to be considered and made transparent prior to the decision to establish</w:t>
      </w:r>
      <w:r w:rsidR="00902529">
        <w:t xml:space="preserve"> such a framework</w:t>
      </w:r>
      <w:r w:rsidR="002B3103">
        <w:t xml:space="preserve">. </w:t>
      </w:r>
    </w:p>
    <w:p w14:paraId="2D474924" w14:textId="6701992A" w:rsidR="00A8091A" w:rsidRDefault="00456C06" w:rsidP="002B3103">
      <w:r>
        <w:t xml:space="preserve">It is expected that a form of draft Charter and Objectives for the governance committee will be produced before the final decision to proceed is made. These documents would assist in proving clarity as to the likely costs of operating the framework, </w:t>
      </w:r>
      <w:r w:rsidR="00902529">
        <w:t xml:space="preserve">as well as </w:t>
      </w:r>
      <w:r>
        <w:t xml:space="preserve">the key success factors </w:t>
      </w:r>
      <w:r w:rsidR="00A8091A">
        <w:t xml:space="preserve">spanning technical, commercial, customer and community benefits </w:t>
      </w:r>
      <w:r>
        <w:t xml:space="preserve">and </w:t>
      </w:r>
      <w:r w:rsidR="00902529">
        <w:t xml:space="preserve">the </w:t>
      </w:r>
      <w:r>
        <w:t xml:space="preserve">operating environment against which the </w:t>
      </w:r>
      <w:r w:rsidR="00A8091A">
        <w:t>success of the proposal would be assessed.</w:t>
      </w:r>
    </w:p>
    <w:p w14:paraId="75357B3D" w14:textId="6BA60DA1" w:rsidR="006C2B4F" w:rsidRDefault="006C2B4F" w:rsidP="002B3103">
      <w:pPr>
        <w:pStyle w:val="Heading2"/>
      </w:pPr>
      <w:r>
        <w:t>Advisory or determining ?</w:t>
      </w:r>
    </w:p>
    <w:p w14:paraId="5C65CEE6" w14:textId="2F095E9D" w:rsidR="002B3103" w:rsidRDefault="00741056" w:rsidP="002B3103">
      <w:r>
        <w:t>It is recognised that the Governance Committee would be convened under specific rules to be established under the NER.</w:t>
      </w:r>
    </w:p>
    <w:p w14:paraId="157F6E13" w14:textId="64B8850C" w:rsidR="00741056" w:rsidRDefault="00741056" w:rsidP="002B3103">
      <w:r>
        <w:t xml:space="preserve">When considering the concerns with the current arrangements expressed by </w:t>
      </w:r>
      <w:proofErr w:type="spellStart"/>
      <w:r>
        <w:t>Sapere</w:t>
      </w:r>
      <w:proofErr w:type="spellEnd"/>
      <w:r>
        <w:t xml:space="preserve"> / CM, it is clear that the </w:t>
      </w:r>
      <w:r w:rsidR="00902529">
        <w:t xml:space="preserve">required </w:t>
      </w:r>
      <w:r>
        <w:t xml:space="preserve">level of harmonisation and consistency can only be obtained with the backstop of the ‘stick’ in the form of the ability to make determinations. </w:t>
      </w:r>
      <w:r w:rsidR="00902529">
        <w:t>However, the governance arrangement first and foremost provides the ‘carrot’ – i.e. it must aim to operate from the position of recognised benefit and clear support to the industry as a whole.</w:t>
      </w:r>
    </w:p>
    <w:p w14:paraId="0EB7F1B3" w14:textId="34C363B2" w:rsidR="00456C06" w:rsidRDefault="00741056" w:rsidP="002B3103">
      <w:r>
        <w:t>The need for decisions in a timely and efficient way suggests that arrangements similar to those of the reliability panel would be appropriate.</w:t>
      </w:r>
      <w:r w:rsidR="00456C06">
        <w:t xml:space="preserve"> </w:t>
      </w:r>
      <w:r w:rsidR="00902529">
        <w:t>One</w:t>
      </w:r>
      <w:r w:rsidR="00456C06">
        <w:t xml:space="preserve"> advantage is that the role of the reliability committee is already </w:t>
      </w:r>
      <w:r w:rsidR="00902529">
        <w:t xml:space="preserve">reasonably </w:t>
      </w:r>
      <w:r w:rsidR="00456C06">
        <w:t>accepted and well understood, thereby providing some clarity to stakeholders on ‘how things would work’ as they consider support for th</w:t>
      </w:r>
      <w:r w:rsidR="00902529">
        <w:t>is</w:t>
      </w:r>
      <w:r w:rsidR="00456C06">
        <w:t xml:space="preserve"> governance proposal. It is important to note, however, that the </w:t>
      </w:r>
      <w:r w:rsidR="00902529">
        <w:t xml:space="preserve">need to deeply involve consumers, industry and DNSPs brings </w:t>
      </w:r>
      <w:r w:rsidR="00456C06">
        <w:t>an exponential level of complexity</w:t>
      </w:r>
      <w:r w:rsidR="00902529">
        <w:t>.</w:t>
      </w:r>
    </w:p>
    <w:p w14:paraId="2F5F0206" w14:textId="4FD5B739" w:rsidR="00741056" w:rsidRPr="002B3103" w:rsidRDefault="00456C06" w:rsidP="002B3103">
      <w:r>
        <w:t xml:space="preserve">This places significant importance on the membership, skills and commitment to a consumer-focussed vision of the governance committee. </w:t>
      </w:r>
      <w:r w:rsidR="00741056">
        <w:t xml:space="preserve"> </w:t>
      </w:r>
    </w:p>
    <w:p w14:paraId="15D97087" w14:textId="566F7F21" w:rsidR="006C2B4F" w:rsidRDefault="006C2B4F" w:rsidP="002B3103">
      <w:pPr>
        <w:pStyle w:val="Heading2"/>
      </w:pPr>
      <w:r>
        <w:t>Proposed functions</w:t>
      </w:r>
    </w:p>
    <w:p w14:paraId="06E1AC5C" w14:textId="69C0E2CE" w:rsidR="006C2B4F" w:rsidRDefault="002B3103" w:rsidP="002B3103">
      <w:pPr>
        <w:pStyle w:val="ListParagraph"/>
      </w:pPr>
      <w:r>
        <w:t xml:space="preserve">The </w:t>
      </w:r>
      <w:proofErr w:type="spellStart"/>
      <w:r>
        <w:t>Sapere</w:t>
      </w:r>
      <w:proofErr w:type="spellEnd"/>
      <w:r>
        <w:t xml:space="preserve"> / CM report identified four ‘weaknesses’ in the current arrangements. The </w:t>
      </w:r>
      <w:r w:rsidR="00EB098C">
        <w:t xml:space="preserve">success of the </w:t>
      </w:r>
      <w:r>
        <w:t xml:space="preserve">proposed governance framework will </w:t>
      </w:r>
      <w:r w:rsidR="00EB098C">
        <w:t xml:space="preserve">be judged on its ability to address </w:t>
      </w:r>
      <w:r>
        <w:t xml:space="preserve">these and more functions, </w:t>
      </w:r>
      <w:r w:rsidR="00902529">
        <w:t>including</w:t>
      </w:r>
      <w:r>
        <w:t>:</w:t>
      </w:r>
    </w:p>
    <w:p w14:paraId="66E1A324" w14:textId="77777777" w:rsidR="00741056" w:rsidRDefault="00741056" w:rsidP="002B3103">
      <w:pPr>
        <w:pStyle w:val="ListParagraph"/>
      </w:pPr>
    </w:p>
    <w:p w14:paraId="573BAE59" w14:textId="03AD8CB4" w:rsidR="002B3103" w:rsidRDefault="00EB098C" w:rsidP="00EB098C">
      <w:pPr>
        <w:pStyle w:val="ListParagraph"/>
        <w:numPr>
          <w:ilvl w:val="0"/>
          <w:numId w:val="14"/>
        </w:numPr>
        <w:spacing w:before="120" w:after="120"/>
        <w:ind w:left="1434" w:hanging="357"/>
        <w:contextualSpacing w:val="0"/>
      </w:pPr>
      <w:r>
        <w:t>Provid</w:t>
      </w:r>
      <w:r w:rsidR="00902529">
        <w:t>ing</w:t>
      </w:r>
      <w:r>
        <w:t xml:space="preserve"> clear leadership and vision on </w:t>
      </w:r>
      <w:r w:rsidR="00902529">
        <w:t xml:space="preserve">the </w:t>
      </w:r>
      <w:r>
        <w:t>need, nature and purpose of DER technical requirements, in particular how these requirements work in concert with the other imperatives for an efficient and customer-focussed energy environment</w:t>
      </w:r>
      <w:r w:rsidR="001376A6">
        <w:t xml:space="preserve"> such as </w:t>
      </w:r>
      <w:r>
        <w:t xml:space="preserve">price, accessibility, connection efficiency, network investment and </w:t>
      </w:r>
      <w:r w:rsidR="001376A6">
        <w:t xml:space="preserve">demand-response </w:t>
      </w:r>
      <w:r>
        <w:t>benefits to all consumers.</w:t>
      </w:r>
    </w:p>
    <w:p w14:paraId="300025E0" w14:textId="112706FB" w:rsidR="00EB098C" w:rsidRDefault="00EB098C" w:rsidP="00EB098C">
      <w:pPr>
        <w:pStyle w:val="ListParagraph"/>
        <w:numPr>
          <w:ilvl w:val="0"/>
          <w:numId w:val="14"/>
        </w:numPr>
        <w:spacing w:before="120" w:after="120"/>
        <w:ind w:left="1434" w:hanging="357"/>
        <w:contextualSpacing w:val="0"/>
      </w:pPr>
      <w:r>
        <w:t>Provid</w:t>
      </w:r>
      <w:r w:rsidR="001376A6">
        <w:t>ing</w:t>
      </w:r>
      <w:r>
        <w:t xml:space="preserve"> a nimble, participative and capable framework to meet changing needs in a timely way.</w:t>
      </w:r>
    </w:p>
    <w:p w14:paraId="3F4A2088" w14:textId="6C779FDF" w:rsidR="00EB098C" w:rsidRDefault="008C7610" w:rsidP="00EB098C">
      <w:pPr>
        <w:pStyle w:val="ListParagraph"/>
        <w:numPr>
          <w:ilvl w:val="0"/>
          <w:numId w:val="14"/>
        </w:numPr>
        <w:spacing w:before="120" w:after="120"/>
        <w:ind w:left="1434" w:hanging="357"/>
        <w:contextualSpacing w:val="0"/>
      </w:pPr>
      <w:r>
        <w:lastRenderedPageBreak/>
        <w:t>Facilitate a</w:t>
      </w:r>
      <w:r w:rsidR="00EB098C">
        <w:t xml:space="preserve"> mechanism to encourage </w:t>
      </w:r>
      <w:r>
        <w:t xml:space="preserve">the uptake and </w:t>
      </w:r>
      <w:r w:rsidR="00EB098C">
        <w:t>harmonisation o</w:t>
      </w:r>
      <w:r>
        <w:t>f</w:t>
      </w:r>
      <w:r w:rsidR="00EB098C">
        <w:t xml:space="preserve"> not only the technical standards themselves but also </w:t>
      </w:r>
      <w:r>
        <w:t xml:space="preserve">the </w:t>
      </w:r>
      <w:r w:rsidR="00EB098C">
        <w:t xml:space="preserve">application, connection processes, ancillary equipment (e.g. protection) requirements and installation </w:t>
      </w:r>
      <w:r>
        <w:t xml:space="preserve">of DER equipment </w:t>
      </w:r>
      <w:r w:rsidR="00EB098C">
        <w:t>with a focus on safety, efficiency and affordability.</w:t>
      </w:r>
    </w:p>
    <w:p w14:paraId="01DEBADA" w14:textId="1035ADB1" w:rsidR="00EB098C" w:rsidRDefault="00EB098C" w:rsidP="00EB098C">
      <w:pPr>
        <w:pStyle w:val="ListParagraph"/>
        <w:numPr>
          <w:ilvl w:val="0"/>
          <w:numId w:val="14"/>
        </w:numPr>
        <w:spacing w:before="120" w:after="120"/>
        <w:ind w:left="1434" w:hanging="357"/>
        <w:contextualSpacing w:val="0"/>
      </w:pPr>
      <w:r>
        <w:t>Provide a compliance reference point</w:t>
      </w:r>
      <w:r w:rsidR="008C7610">
        <w:t xml:space="preserve"> and oversee compliance objectives and operation.</w:t>
      </w:r>
    </w:p>
    <w:p w14:paraId="3ADF4F98" w14:textId="7F241C50" w:rsidR="00EB098C" w:rsidRDefault="00EB098C" w:rsidP="00741056">
      <w:r>
        <w:t>I</w:t>
      </w:r>
      <w:r w:rsidR="00741056">
        <w:t>mportantly</w:t>
      </w:r>
      <w:r>
        <w:t xml:space="preserve">, the governance framework will need </w:t>
      </w:r>
      <w:r w:rsidR="00741056">
        <w:t xml:space="preserve">a clear and unambiguous capability </w:t>
      </w:r>
      <w:r>
        <w:t>to encourage and support the engagement and communication functions critical to the successful delivery of workable, consumer and industry-focussed standards</w:t>
      </w:r>
      <w:r w:rsidR="00741056">
        <w:t xml:space="preserve">. The role of the governance is to </w:t>
      </w:r>
      <w:r>
        <w:t xml:space="preserve">not </w:t>
      </w:r>
      <w:r w:rsidR="001376A6">
        <w:t xml:space="preserve">only </w:t>
      </w:r>
      <w:r w:rsidR="00741056">
        <w:t xml:space="preserve">be </w:t>
      </w:r>
      <w:r>
        <w:t xml:space="preserve">complementary to the objectives of the ESB, but also </w:t>
      </w:r>
      <w:r w:rsidR="001376A6">
        <w:t xml:space="preserve">to be </w:t>
      </w:r>
      <w:r>
        <w:t xml:space="preserve">seen as </w:t>
      </w:r>
      <w:r w:rsidR="001376A6">
        <w:t xml:space="preserve">providing clear value to </w:t>
      </w:r>
      <w:r>
        <w:t>industry and consumers</w:t>
      </w:r>
      <w:r w:rsidR="00741056">
        <w:t>.</w:t>
      </w:r>
    </w:p>
    <w:p w14:paraId="0E6D0190" w14:textId="6A89BF49" w:rsidR="006C2B4F" w:rsidRDefault="006C2B4F" w:rsidP="002B3103">
      <w:pPr>
        <w:pStyle w:val="Heading2"/>
      </w:pPr>
      <w:r>
        <w:t>Subsidiary instrument ?</w:t>
      </w:r>
    </w:p>
    <w:p w14:paraId="588AFE8D" w14:textId="582C2E28" w:rsidR="006C2B4F" w:rsidRDefault="00456C06" w:rsidP="002B3103">
      <w:pPr>
        <w:pStyle w:val="ListParagraph"/>
      </w:pPr>
      <w:r>
        <w:t xml:space="preserve">The application through a subsidiary instrument is supported, implying a greater level of flexibility and reduced administrative overhead in producing and modifying technical standards. </w:t>
      </w:r>
    </w:p>
    <w:p w14:paraId="417C4C61" w14:textId="63CA6243" w:rsidR="006C2B4F" w:rsidRDefault="006C2B4F" w:rsidP="002B3103">
      <w:pPr>
        <w:pStyle w:val="Heading2"/>
      </w:pPr>
      <w:r>
        <w:t>Compliance and enforcement.</w:t>
      </w:r>
    </w:p>
    <w:p w14:paraId="3BD66CDD" w14:textId="3E1E2E3D" w:rsidR="006C2B4F" w:rsidRDefault="00456C06" w:rsidP="002B3103">
      <w:pPr>
        <w:pStyle w:val="ListParagraph"/>
      </w:pPr>
      <w:r>
        <w:t xml:space="preserve">The proposal under section 4.6 of the consultation paper is supported. </w:t>
      </w:r>
    </w:p>
    <w:p w14:paraId="6628872B" w14:textId="40D3C0D1" w:rsidR="006C2B4F" w:rsidRDefault="006C2B4F" w:rsidP="002B3103">
      <w:pPr>
        <w:pStyle w:val="Heading2"/>
      </w:pPr>
      <w:r>
        <w:t>Composition of the committee</w:t>
      </w:r>
    </w:p>
    <w:p w14:paraId="013B0B2B" w14:textId="1DA1302F" w:rsidR="006C2B4F" w:rsidRDefault="00663EFD" w:rsidP="002B3103">
      <w:pPr>
        <w:pStyle w:val="ListParagraph"/>
      </w:pPr>
      <w:r>
        <w:t>No significant comment regarding the proposal is made, other than to highlight the selection criteria as being ‘on the basis of their expertise in DER standards’. It is assumed that the detail of DER equipment operation can be brought through involvement in subcommittees and working groups</w:t>
      </w:r>
      <w:r w:rsidR="008C7610">
        <w:t xml:space="preserve">, and that DER expertise is only one of a number of </w:t>
      </w:r>
      <w:r w:rsidR="001376A6">
        <w:t xml:space="preserve">key industry </w:t>
      </w:r>
      <w:r w:rsidR="008C7610">
        <w:t xml:space="preserve">skills that the members would </w:t>
      </w:r>
      <w:r w:rsidR="001376A6">
        <w:t xml:space="preserve">necessarily </w:t>
      </w:r>
      <w:r w:rsidR="008C7610">
        <w:t>bring to the committee</w:t>
      </w:r>
      <w:r>
        <w:t>.</w:t>
      </w:r>
    </w:p>
    <w:p w14:paraId="442AFC4B" w14:textId="77777777" w:rsidR="00663EFD" w:rsidRDefault="00663EFD" w:rsidP="002B3103">
      <w:pPr>
        <w:pStyle w:val="ListParagraph"/>
      </w:pPr>
    </w:p>
    <w:p w14:paraId="76409E3A" w14:textId="375FD816" w:rsidR="00663EFD" w:rsidRDefault="00663EFD" w:rsidP="001376A6">
      <w:pPr>
        <w:pStyle w:val="ListParagraph"/>
      </w:pPr>
      <w:r>
        <w:t xml:space="preserve">The proposed membership </w:t>
      </w:r>
      <w:r w:rsidR="001376A6">
        <w:t xml:space="preserve">list appears to </w:t>
      </w:r>
      <w:r>
        <w:t xml:space="preserve">reflect the key stakeholders who have a vital interest in the way consumers invest in DER, how benefit is derived, and with a strong understanding the need, purpose and implications of setting technical standards in the current and future energy environment. </w:t>
      </w:r>
      <w:r w:rsidR="001376A6">
        <w:t xml:space="preserve">In some ways it is large and perhaps bureaucratic, but the need for consensus and representation from a range of stakeholders dictates a broad membership. </w:t>
      </w:r>
      <w:r>
        <w:t xml:space="preserve">The ability </w:t>
      </w:r>
      <w:r w:rsidR="001376A6">
        <w:t xml:space="preserve">for all members </w:t>
      </w:r>
      <w:r>
        <w:t xml:space="preserve">to effectively engage with their stakeholder groups, meaningfully represent their interests and </w:t>
      </w:r>
      <w:r w:rsidR="001376A6">
        <w:t xml:space="preserve">to </w:t>
      </w:r>
      <w:r>
        <w:t xml:space="preserve">agree and promulgate balanced outcomes is necessary. Communication and engagement skills are critical for the arrangements to be a success. </w:t>
      </w:r>
    </w:p>
    <w:p w14:paraId="1698DBF5" w14:textId="34FD5111" w:rsidR="006C2B4F" w:rsidRDefault="006C2B4F" w:rsidP="002B3103">
      <w:pPr>
        <w:pStyle w:val="Heading2"/>
      </w:pPr>
      <w:r>
        <w:t>Committee arrangements</w:t>
      </w:r>
    </w:p>
    <w:p w14:paraId="487806BE" w14:textId="1D8A8116" w:rsidR="006C2B4F" w:rsidRDefault="00663EFD" w:rsidP="002B3103">
      <w:pPr>
        <w:pStyle w:val="ListParagraph"/>
      </w:pPr>
      <w:r>
        <w:t>The committee needs to have a robust and clearly stated objective</w:t>
      </w:r>
      <w:r w:rsidR="008C7610">
        <w:t>s</w:t>
      </w:r>
      <w:r>
        <w:t xml:space="preserve">, </w:t>
      </w:r>
      <w:r w:rsidR="008C7610">
        <w:t xml:space="preserve">with well-defined and </w:t>
      </w:r>
      <w:r>
        <w:t>key result areas</w:t>
      </w:r>
      <w:r w:rsidR="008C7610">
        <w:t xml:space="preserve"> and performance measures that are agreed with not only the AEMC / ESB but also with the stakeholder groups that are represented in the governance committee. </w:t>
      </w:r>
    </w:p>
    <w:p w14:paraId="751BD99B" w14:textId="6FCC2B7C" w:rsidR="006C2B4F" w:rsidRDefault="006C2B4F" w:rsidP="002B3103">
      <w:pPr>
        <w:pStyle w:val="Heading2"/>
      </w:pPr>
      <w:r>
        <w:t>Other comments on the operation of the committee</w:t>
      </w:r>
    </w:p>
    <w:p w14:paraId="4F997D77" w14:textId="08C3A6D0" w:rsidR="006C2B4F" w:rsidRDefault="00A8091A" w:rsidP="002B3103">
      <w:r>
        <w:t>A vision of how the governance committee will engender support from the many stakeholders is critical. AEMO, AER, network businesses, consumers and the DER industry all have specific and varying imperatives regarding the level of influence, uniqueness and timeliness of DER technical standards that will influence network risks, price and performance and the perception of customer value.</w:t>
      </w:r>
    </w:p>
    <w:p w14:paraId="02345FC5" w14:textId="58F8B288" w:rsidR="00A8091A" w:rsidRDefault="00A8091A" w:rsidP="002B3103">
      <w:r>
        <w:t xml:space="preserve">Key to the role of the governance committee will be the role of communication, coordination, engagements and mediation; well before the functions of rule-setting and compliance is required. </w:t>
      </w:r>
    </w:p>
    <w:p w14:paraId="4B70FA00" w14:textId="65351D8B" w:rsidR="006C2B4F" w:rsidRDefault="006C2B4F" w:rsidP="002B3103"/>
    <w:p w14:paraId="41BB554F" w14:textId="72F1828E" w:rsidR="006C2B4F" w:rsidRDefault="006C2B4F" w:rsidP="001376A6">
      <w:pPr>
        <w:ind w:left="0"/>
      </w:pPr>
    </w:p>
    <w:p w14:paraId="26F85155" w14:textId="5D9E2A32" w:rsidR="006C2B4F" w:rsidRDefault="006C2B4F" w:rsidP="002B3103">
      <w:r>
        <w:rPr>
          <w:noProof/>
        </w:rPr>
        <mc:AlternateContent>
          <mc:Choice Requires="wps">
            <w:drawing>
              <wp:anchor distT="45720" distB="45720" distL="114300" distR="114300" simplePos="0" relativeHeight="251662336" behindDoc="0" locked="0" layoutInCell="1" allowOverlap="1" wp14:anchorId="30B36CCD" wp14:editId="17C5B594">
                <wp:simplePos x="0" y="0"/>
                <wp:positionH relativeFrom="page">
                  <wp:align>center</wp:align>
                </wp:positionH>
                <wp:positionV relativeFrom="paragraph">
                  <wp:posOffset>494</wp:posOffset>
                </wp:positionV>
                <wp:extent cx="6389370" cy="1404620"/>
                <wp:effectExtent l="0" t="0" r="1143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9370" cy="1404620"/>
                        </a:xfrm>
                        <a:prstGeom prst="rect">
                          <a:avLst/>
                        </a:prstGeom>
                        <a:solidFill>
                          <a:srgbClr val="FFFFFF"/>
                        </a:solidFill>
                        <a:ln w="9525">
                          <a:solidFill>
                            <a:srgbClr val="000000"/>
                          </a:solidFill>
                          <a:miter lim="800000"/>
                          <a:headEnd/>
                          <a:tailEnd/>
                        </a:ln>
                      </wps:spPr>
                      <wps:txbx>
                        <w:txbxContent>
                          <w:p w14:paraId="0DBB7890" w14:textId="77777777" w:rsidR="00F1568B" w:rsidRPr="008C7610" w:rsidRDefault="00F1568B" w:rsidP="002B3103">
                            <w:pPr>
                              <w:rPr>
                                <w:rFonts w:asciiTheme="minorHAnsi" w:eastAsiaTheme="minorEastAsia" w:hAnsiTheme="minorHAnsi" w:cstheme="minorBidi"/>
                                <w:b/>
                                <w:bCs/>
                                <w:color w:val="auto"/>
                              </w:rPr>
                            </w:pPr>
                            <w:r w:rsidRPr="008C7610">
                              <w:rPr>
                                <w:b/>
                                <w:bCs/>
                                <w:iCs/>
                              </w:rPr>
                              <w:t>About</w:t>
                            </w:r>
                            <w:r w:rsidRPr="008C7610">
                              <w:rPr>
                                <w:b/>
                                <w:bCs/>
                              </w:rPr>
                              <w:t xml:space="preserve"> </w:t>
                            </w:r>
                            <w:r w:rsidRPr="008C7610">
                              <w:rPr>
                                <w:b/>
                                <w:bCs/>
                                <w:i/>
                                <w:iCs/>
                              </w:rPr>
                              <w:t>The Customer Advocate</w:t>
                            </w:r>
                            <w:r w:rsidRPr="008C7610">
                              <w:rPr>
                                <w:b/>
                                <w:bCs/>
                              </w:rPr>
                              <w:t>:</w:t>
                            </w:r>
                          </w:p>
                          <w:p w14:paraId="6C0CE1E2" w14:textId="24636D08" w:rsidR="00F1568B" w:rsidRDefault="00F1568B" w:rsidP="002B3103">
                            <w:r>
                              <w:t>Mike Swanston</w:t>
                            </w:r>
                            <w:r>
                              <w:rPr>
                                <w:i/>
                              </w:rPr>
                              <w:t>,</w:t>
                            </w:r>
                            <w:r>
                              <w:t xml:space="preserve"> a professional engineer with over thirty years of experience in the Australian electricity distribution industry, is principal consultant of his business </w:t>
                            </w:r>
                            <w:r>
                              <w:rPr>
                                <w:i/>
                              </w:rPr>
                              <w:t>The Customer Advocate</w:t>
                            </w:r>
                          </w:p>
                          <w:p w14:paraId="4542966F" w14:textId="77777777" w:rsidR="00F1568B" w:rsidRDefault="00F1568B" w:rsidP="002B3103">
                            <w:r>
                              <w:t>With a passion for energy sustainability and a fair deal for energy customers, Mike’s mission is to further the empowerment of residential and small business energy customers in today’s changing energy markets.</w:t>
                            </w:r>
                          </w:p>
                          <w:p w14:paraId="2691F991" w14:textId="39641EA7" w:rsidR="00F1568B" w:rsidRDefault="00F1568B" w:rsidP="002B3103">
                            <w:r>
                              <w:t>The consultancy has been appointed by governments and regulators in Australia and overseas to advise on the application of innovative technologies and incentives through effective and honest consumer engagement and communication, with a focus on sensible, simple and efficient service to the energy customer.</w:t>
                            </w:r>
                          </w:p>
                          <w:p w14:paraId="491FEFF7" w14:textId="3E7EF353" w:rsidR="00F1568B" w:rsidRDefault="00F1568B" w:rsidP="002B3103">
                            <w:r>
                              <w:t>Mike is a Registered Professional Engineer, a Fellow of the Institution of Engineers Australia and a member of the Australian Energy Regulator Consumer Challenge Panel.</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type w14:anchorId="30B36CCD" id="_x0000_t202" coordsize="21600,21600" o:spt="202" path="m,l,21600r21600,l21600,xe">
                <v:stroke joinstyle="miter"/>
                <v:path gradientshapeok="t" o:connecttype="rect"/>
              </v:shapetype>
              <v:shape id="Text Box 2" o:spid="_x0000_s1026" type="#_x0000_t202" style="position:absolute;left:0;text-align:left;margin-left:0;margin-top:.05pt;width:503.1pt;height:110.6pt;z-index:251662336;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">
                <v:textbox style="mso-fit-shape-to-text:t">
                  <w:txbxContent>
                    <w:p w14:paraId="0DBB7890" w14:textId="77777777" w:rsidR="00F1568B" w:rsidRPr="008C7610" w:rsidRDefault="00F1568B" w:rsidP="002B3103">
                      <w:pPr>
                        <w:rPr>
                          <w:rFonts w:asciiTheme="minorHAnsi" w:eastAsiaTheme="minorEastAsia" w:hAnsiTheme="minorHAnsi" w:cstheme="minorBidi"/>
                          <w:b/>
                          <w:bCs/>
                          <w:color w:val="auto"/>
                        </w:rPr>
                      </w:pPr>
                      <w:r w:rsidRPr="008C7610">
                        <w:rPr>
                          <w:b/>
                          <w:bCs/>
                          <w:iCs/>
                        </w:rPr>
                        <w:t>About</w:t>
                      </w:r>
                      <w:r w:rsidRPr="008C7610">
                        <w:rPr>
                          <w:b/>
                          <w:bCs/>
                        </w:rPr>
                        <w:t xml:space="preserve"> </w:t>
                      </w:r>
                      <w:r w:rsidRPr="008C7610">
                        <w:rPr>
                          <w:b/>
                          <w:bCs/>
                          <w:i/>
                          <w:iCs/>
                        </w:rPr>
                        <w:t>The Customer Advocate</w:t>
                      </w:r>
                      <w:r w:rsidRPr="008C7610">
                        <w:rPr>
                          <w:b/>
                          <w:bCs/>
                        </w:rPr>
                        <w:t>:</w:t>
                      </w:r>
                    </w:p>
                    <w:p w14:paraId="6C0CE1E2" w14:textId="24636D08" w:rsidR="00F1568B" w:rsidRDefault="00F1568B" w:rsidP="002B3103">
                      <w:r>
                        <w:t>Mike Swanston</w:t>
                      </w:r>
                      <w:r>
                        <w:rPr>
                          <w:i/>
                        </w:rPr>
                        <w:t>,</w:t>
                      </w:r>
                      <w:r>
                        <w:t xml:space="preserve"> a professional engineer with over thirty years of experience in the Australian electricity distribution industry, is principal consultant of his business </w:t>
                      </w:r>
                      <w:r>
                        <w:rPr>
                          <w:i/>
                        </w:rPr>
                        <w:t>The Customer Advocate</w:t>
                      </w:r>
                    </w:p>
                    <w:p w14:paraId="4542966F" w14:textId="77777777" w:rsidR="00F1568B" w:rsidRDefault="00F1568B" w:rsidP="002B3103">
                      <w:r>
                        <w:t>With a passion for energy sustainability and a fair deal for energy customers, Mike’s mission is to further the empowerment of residential and small business energy customers in today’s changing energy markets.</w:t>
                      </w:r>
                    </w:p>
                    <w:p w14:paraId="2691F991" w14:textId="39641EA7" w:rsidR="00F1568B" w:rsidRDefault="00F1568B" w:rsidP="002B3103">
                      <w:r>
                        <w:t>The consultancy has been appointed by governments and regulators in Australia and overseas to advise on the application of innovative technologies and incentives through effective and honest consumer engagement and communication, with a focus on sensible, simple and efficient service to the energy customer.</w:t>
                      </w:r>
                    </w:p>
                    <w:p w14:paraId="491FEFF7" w14:textId="3E7EF353" w:rsidR="00F1568B" w:rsidRDefault="00F1568B" w:rsidP="002B3103">
                      <w:r>
                        <w:t>Mike is a Registered Professional Engineer, a Fellow of the Institution of Engineers Australia and a member of the Australian Energy Regulator Consumer Challenge Panel.</w:t>
                      </w:r>
                    </w:p>
                  </w:txbxContent>
                </v:textbox>
                <w10:wrap type="square" anchorx="page"/>
              </v:shape>
            </w:pict>
          </mc:Fallback>
        </mc:AlternateContent>
      </w:r>
    </w:p>
    <w:p w14:paraId="724F69F5" w14:textId="12393B21" w:rsidR="006C2B4F" w:rsidRDefault="006C2B4F" w:rsidP="002B3103"/>
    <w:p w14:paraId="2398F335" w14:textId="4D916360" w:rsidR="006C2B4F" w:rsidRDefault="006C2B4F" w:rsidP="002B3103">
      <w:r>
        <w:tab/>
      </w:r>
    </w:p>
    <w:p w14:paraId="5014C17F" w14:textId="474FFD07" w:rsidR="006C2B4F" w:rsidRDefault="006C2B4F" w:rsidP="002B3103"/>
    <w:p w14:paraId="62AAD1DA" w14:textId="4E419001" w:rsidR="006C2B4F" w:rsidRDefault="006C2B4F" w:rsidP="002B3103"/>
    <w:p w14:paraId="443E6136" w14:textId="77777777" w:rsidR="006C2B4F" w:rsidRDefault="006C2B4F" w:rsidP="002B3103"/>
    <w:sectPr w:rsidR="006C2B4F" w:rsidSect="00F62E0B">
      <w:headerReference w:type="even" r:id="rId9"/>
      <w:headerReference w:type="default" r:id="rId10"/>
      <w:headerReference w:type="first" r:id="rId11"/>
      <w:pgSz w:w="12240" w:h="15840"/>
      <w:pgMar w:top="759" w:right="1470" w:bottom="709" w:left="5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C33B4B" w14:textId="77777777" w:rsidR="00F1568B" w:rsidRDefault="00F1568B" w:rsidP="002B3103">
      <w:r>
        <w:separator/>
      </w:r>
    </w:p>
  </w:endnote>
  <w:endnote w:type="continuationSeparator" w:id="0">
    <w:p w14:paraId="04F4DC64" w14:textId="77777777" w:rsidR="00F1568B" w:rsidRDefault="00F1568B" w:rsidP="002B3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738CA2" w14:textId="77777777" w:rsidR="00F1568B" w:rsidRDefault="00F1568B" w:rsidP="002B3103">
      <w:r>
        <w:separator/>
      </w:r>
    </w:p>
  </w:footnote>
  <w:footnote w:type="continuationSeparator" w:id="0">
    <w:p w14:paraId="69217748" w14:textId="77777777" w:rsidR="00F1568B" w:rsidRDefault="00F1568B" w:rsidP="002B31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D6870" w14:textId="77777777" w:rsidR="00F1568B" w:rsidRDefault="00F1568B" w:rsidP="002B3103">
    <w:r>
      <w:rPr>
        <w:noProof/>
      </w:rPr>
      <mc:AlternateContent>
        <mc:Choice Requires="wpg">
          <w:drawing>
            <wp:anchor distT="0" distB="0" distL="114300" distR="114300" simplePos="0" relativeHeight="251658240" behindDoc="1" locked="0" layoutInCell="1" allowOverlap="1" wp14:anchorId="127D67CC" wp14:editId="7003C6E9">
              <wp:simplePos x="0" y="0"/>
              <wp:positionH relativeFrom="page">
                <wp:posOffset>320358</wp:posOffset>
              </wp:positionH>
              <wp:positionV relativeFrom="page">
                <wp:posOffset>311150</wp:posOffset>
              </wp:positionV>
              <wp:extent cx="7126669" cy="9434195"/>
              <wp:effectExtent l="0" t="0" r="0" b="0"/>
              <wp:wrapNone/>
              <wp:docPr id="6625" name="Group 6625"/>
              <wp:cNvGraphicFramePr/>
              <a:graphic xmlns:a="http://schemas.openxmlformats.org/drawingml/2006/main">
                <a:graphicData uri="http://schemas.microsoft.com/office/word/2010/wordprocessingGroup">
                  <wpg:wgp>
                    <wpg:cNvGrpSpPr/>
                    <wpg:grpSpPr>
                      <a:xfrm>
                        <a:off x="0" y="0"/>
                        <a:ext cx="7126669" cy="9434195"/>
                        <a:chOff x="0" y="0"/>
                        <a:chExt cx="7126669" cy="9434195"/>
                      </a:xfrm>
                    </wpg:grpSpPr>
                    <wps:wsp>
                      <wps:cNvPr id="6626" name="Shape 6626"/>
                      <wps:cNvSpPr/>
                      <wps:spPr>
                        <a:xfrm>
                          <a:off x="0" y="0"/>
                          <a:ext cx="7126669" cy="9434195"/>
                        </a:xfrm>
                        <a:custGeom>
                          <a:avLst/>
                          <a:gdLst/>
                          <a:ahLst/>
                          <a:cxnLst/>
                          <a:rect l="0" t="0" r="0" b="0"/>
                          <a:pathLst>
                            <a:path w="7126669" h="9434195">
                              <a:moveTo>
                                <a:pt x="0" y="286639"/>
                              </a:moveTo>
                              <a:cubicBezTo>
                                <a:pt x="0" y="128397"/>
                                <a:pt x="128359" y="0"/>
                                <a:pt x="286703" y="0"/>
                              </a:cubicBezTo>
                              <a:lnTo>
                                <a:pt x="6839903" y="0"/>
                              </a:lnTo>
                              <a:cubicBezTo>
                                <a:pt x="6998272" y="0"/>
                                <a:pt x="7126669" y="128397"/>
                                <a:pt x="7126669" y="286639"/>
                              </a:cubicBezTo>
                              <a:lnTo>
                                <a:pt x="7126669" y="9147493"/>
                              </a:lnTo>
                              <a:cubicBezTo>
                                <a:pt x="7126669" y="9305836"/>
                                <a:pt x="6998272" y="9434195"/>
                                <a:pt x="6839903" y="9434195"/>
                              </a:cubicBezTo>
                              <a:lnTo>
                                <a:pt x="286703" y="9434195"/>
                              </a:lnTo>
                              <a:cubicBezTo>
                                <a:pt x="128359" y="9434195"/>
                                <a:pt x="0" y="9305836"/>
                                <a:pt x="0" y="9147493"/>
                              </a:cubicBezTo>
                              <a:close/>
                            </a:path>
                          </a:pathLst>
                        </a:custGeom>
                        <a:ln w="1270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5C45989" id="Group 6625" o:spid="_x0000_s1026" style="position:absolute;margin-left:25.25pt;margin-top:24.5pt;width:561.15pt;height:742.85pt;z-index:-251658240;mso-position-horizontal-relative:page;mso-position-vertical-relative:page" coordsize="71266,94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">
              <v:shape id="Shape 6626" o:spid="_x0000_s1027" style="position:absolute;width:71266;height:94341;visibility:visible;mso-wrap-style:square;v-text-anchor:top" coordsize="7126669,9434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" path="m,286639c,128397,128359,,286703,l6839903,v158369,,286766,128397,286766,286639l7126669,9147493v,158343,-128397,286702,-286766,286702l286703,9434195c128359,9434195,,9305836,,9147493l,286639xe" filled="f" strokeweight="1pt">
                <v:path arrowok="t" textboxrect="0,0,7126669,9434195"/>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A0F4A" w14:textId="77777777" w:rsidR="00F1568B" w:rsidRDefault="00F1568B" w:rsidP="002B3103">
    <w:r>
      <w:rPr>
        <w:noProof/>
      </w:rPr>
      <mc:AlternateContent>
        <mc:Choice Requires="wpg">
          <w:drawing>
            <wp:anchor distT="0" distB="0" distL="114300" distR="114300" simplePos="0" relativeHeight="251659264" behindDoc="1" locked="0" layoutInCell="1" allowOverlap="1" wp14:anchorId="5BF2D5A0" wp14:editId="0DFA3411">
              <wp:simplePos x="0" y="0"/>
              <wp:positionH relativeFrom="page">
                <wp:posOffset>320358</wp:posOffset>
              </wp:positionH>
              <wp:positionV relativeFrom="page">
                <wp:posOffset>311150</wp:posOffset>
              </wp:positionV>
              <wp:extent cx="7126669" cy="9434195"/>
              <wp:effectExtent l="0" t="0" r="0" b="0"/>
              <wp:wrapNone/>
              <wp:docPr id="6622" name="Group 6622"/>
              <wp:cNvGraphicFramePr/>
              <a:graphic xmlns:a="http://schemas.openxmlformats.org/drawingml/2006/main">
                <a:graphicData uri="http://schemas.microsoft.com/office/word/2010/wordprocessingGroup">
                  <wpg:wgp>
                    <wpg:cNvGrpSpPr/>
                    <wpg:grpSpPr>
                      <a:xfrm>
                        <a:off x="0" y="0"/>
                        <a:ext cx="7126669" cy="9434195"/>
                        <a:chOff x="0" y="0"/>
                        <a:chExt cx="7126669" cy="9434195"/>
                      </a:xfrm>
                    </wpg:grpSpPr>
                    <wps:wsp>
                      <wps:cNvPr id="6623" name="Shape 6623"/>
                      <wps:cNvSpPr/>
                      <wps:spPr>
                        <a:xfrm>
                          <a:off x="0" y="0"/>
                          <a:ext cx="7126669" cy="9434195"/>
                        </a:xfrm>
                        <a:custGeom>
                          <a:avLst/>
                          <a:gdLst/>
                          <a:ahLst/>
                          <a:cxnLst/>
                          <a:rect l="0" t="0" r="0" b="0"/>
                          <a:pathLst>
                            <a:path w="7126669" h="9434195">
                              <a:moveTo>
                                <a:pt x="0" y="286639"/>
                              </a:moveTo>
                              <a:cubicBezTo>
                                <a:pt x="0" y="128397"/>
                                <a:pt x="128359" y="0"/>
                                <a:pt x="286703" y="0"/>
                              </a:cubicBezTo>
                              <a:lnTo>
                                <a:pt x="6839903" y="0"/>
                              </a:lnTo>
                              <a:cubicBezTo>
                                <a:pt x="6998272" y="0"/>
                                <a:pt x="7126669" y="128397"/>
                                <a:pt x="7126669" y="286639"/>
                              </a:cubicBezTo>
                              <a:lnTo>
                                <a:pt x="7126669" y="9147493"/>
                              </a:lnTo>
                              <a:cubicBezTo>
                                <a:pt x="7126669" y="9305836"/>
                                <a:pt x="6998272" y="9434195"/>
                                <a:pt x="6839903" y="9434195"/>
                              </a:cubicBezTo>
                              <a:lnTo>
                                <a:pt x="286703" y="9434195"/>
                              </a:lnTo>
                              <a:cubicBezTo>
                                <a:pt x="128359" y="9434195"/>
                                <a:pt x="0" y="9305836"/>
                                <a:pt x="0" y="9147493"/>
                              </a:cubicBezTo>
                              <a:close/>
                            </a:path>
                          </a:pathLst>
                        </a:custGeom>
                        <a:ln w="1270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F2EE09D" id="Group 6622" o:spid="_x0000_s1026" style="position:absolute;margin-left:25.25pt;margin-top:24.5pt;width:561.15pt;height:742.85pt;z-index:-251657216;mso-position-horizontal-relative:page;mso-position-vertical-relative:page" coordsize="71266,94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">
              <v:shape id="Shape 6623" o:spid="_x0000_s1027" style="position:absolute;width:71266;height:94341;visibility:visible;mso-wrap-style:square;v-text-anchor:top" coordsize="7126669,9434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" path="m,286639c,128397,128359,,286703,l6839903,v158369,,286766,128397,286766,286639l7126669,9147493v,158343,-128397,286702,-286766,286702l286703,9434195c128359,9434195,,9305836,,9147493l,286639xe" filled="f" strokeweight="1pt">
                <v:path arrowok="t" textboxrect="0,0,7126669,9434195"/>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CC962" w14:textId="77777777" w:rsidR="00F1568B" w:rsidRDefault="00F1568B" w:rsidP="002B3103">
    <w:r>
      <w:rPr>
        <w:noProof/>
      </w:rPr>
      <mc:AlternateContent>
        <mc:Choice Requires="wpg">
          <w:drawing>
            <wp:anchor distT="0" distB="0" distL="114300" distR="114300" simplePos="0" relativeHeight="251660288" behindDoc="1" locked="0" layoutInCell="1" allowOverlap="1" wp14:anchorId="52AC3AF4" wp14:editId="345E871F">
              <wp:simplePos x="0" y="0"/>
              <wp:positionH relativeFrom="page">
                <wp:posOffset>320358</wp:posOffset>
              </wp:positionH>
              <wp:positionV relativeFrom="page">
                <wp:posOffset>311150</wp:posOffset>
              </wp:positionV>
              <wp:extent cx="7126669" cy="9434195"/>
              <wp:effectExtent l="0" t="0" r="0" b="0"/>
              <wp:wrapNone/>
              <wp:docPr id="6619" name="Group 6619"/>
              <wp:cNvGraphicFramePr/>
              <a:graphic xmlns:a="http://schemas.openxmlformats.org/drawingml/2006/main">
                <a:graphicData uri="http://schemas.microsoft.com/office/word/2010/wordprocessingGroup">
                  <wpg:wgp>
                    <wpg:cNvGrpSpPr/>
                    <wpg:grpSpPr>
                      <a:xfrm>
                        <a:off x="0" y="0"/>
                        <a:ext cx="7126669" cy="9434195"/>
                        <a:chOff x="0" y="0"/>
                        <a:chExt cx="7126669" cy="9434195"/>
                      </a:xfrm>
                    </wpg:grpSpPr>
                    <wps:wsp>
                      <wps:cNvPr id="6620" name="Shape 6620"/>
                      <wps:cNvSpPr/>
                      <wps:spPr>
                        <a:xfrm>
                          <a:off x="0" y="0"/>
                          <a:ext cx="7126669" cy="9434195"/>
                        </a:xfrm>
                        <a:custGeom>
                          <a:avLst/>
                          <a:gdLst/>
                          <a:ahLst/>
                          <a:cxnLst/>
                          <a:rect l="0" t="0" r="0" b="0"/>
                          <a:pathLst>
                            <a:path w="7126669" h="9434195">
                              <a:moveTo>
                                <a:pt x="0" y="286639"/>
                              </a:moveTo>
                              <a:cubicBezTo>
                                <a:pt x="0" y="128397"/>
                                <a:pt x="128359" y="0"/>
                                <a:pt x="286703" y="0"/>
                              </a:cubicBezTo>
                              <a:lnTo>
                                <a:pt x="6839903" y="0"/>
                              </a:lnTo>
                              <a:cubicBezTo>
                                <a:pt x="6998272" y="0"/>
                                <a:pt x="7126669" y="128397"/>
                                <a:pt x="7126669" y="286639"/>
                              </a:cubicBezTo>
                              <a:lnTo>
                                <a:pt x="7126669" y="9147493"/>
                              </a:lnTo>
                              <a:cubicBezTo>
                                <a:pt x="7126669" y="9305836"/>
                                <a:pt x="6998272" y="9434195"/>
                                <a:pt x="6839903" y="9434195"/>
                              </a:cubicBezTo>
                              <a:lnTo>
                                <a:pt x="286703" y="9434195"/>
                              </a:lnTo>
                              <a:cubicBezTo>
                                <a:pt x="128359" y="9434195"/>
                                <a:pt x="0" y="9305836"/>
                                <a:pt x="0" y="9147493"/>
                              </a:cubicBezTo>
                              <a:close/>
                            </a:path>
                          </a:pathLst>
                        </a:custGeom>
                        <a:ln w="1270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EDDBFE8" id="Group 6619" o:spid="_x0000_s1026" style="position:absolute;margin-left:25.25pt;margin-top:24.5pt;width:561.15pt;height:742.85pt;z-index:-251656192;mso-position-horizontal-relative:page;mso-position-vertical-relative:page" coordsize="71266,94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">
              <v:shape id="Shape 6620" o:spid="_x0000_s1027" style="position:absolute;width:71266;height:94341;visibility:visible;mso-wrap-style:square;v-text-anchor:top" coordsize="7126669,9434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" path="m,286639c,128397,128359,,286703,l6839903,v158369,,286766,128397,286766,286639l7126669,9147493v,158343,-128397,286702,-286766,286702l286703,9434195c128359,9434195,,9305836,,9147493l,286639xe" filled="f" strokeweight="1pt">
                <v:path arrowok="t" textboxrect="0,0,7126669,9434195"/>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A18F3"/>
    <w:multiLevelType w:val="hybridMultilevel"/>
    <w:tmpl w:val="ABA8E2AC"/>
    <w:lvl w:ilvl="0" w:tplc="0C090011">
      <w:start w:val="1"/>
      <w:numFmt w:val="decimal"/>
      <w:lvlText w:val="%1)"/>
      <w:lvlJc w:val="left"/>
      <w:pPr>
        <w:ind w:left="1080" w:hanging="360"/>
      </w:pPr>
      <w:rPr>
        <w:rFonts w:hint="default"/>
      </w:rPr>
    </w:lvl>
    <w:lvl w:ilvl="1" w:tplc="BB9018B2">
      <w:start w:val="1"/>
      <w:numFmt w:val="bullet"/>
      <w:lvlText w:val="-"/>
      <w:lvlJc w:val="left"/>
      <w:pPr>
        <w:ind w:left="1800" w:hanging="360"/>
      </w:pPr>
      <w:rPr>
        <w:rFonts w:ascii="Calibri" w:eastAsia="Calibri" w:hAnsi="Calibri" w:cs="Calibri"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2D14012D"/>
    <w:multiLevelType w:val="hybridMultilevel"/>
    <w:tmpl w:val="7CB48258"/>
    <w:lvl w:ilvl="0" w:tplc="BB9018B2">
      <w:start w:val="1"/>
      <w:numFmt w:val="bullet"/>
      <w:lvlText w:val="-"/>
      <w:lvlJc w:val="left"/>
      <w:pPr>
        <w:ind w:left="1440" w:hanging="360"/>
      </w:pPr>
      <w:rPr>
        <w:rFonts w:ascii="Calibri" w:eastAsia="Calibri"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34BE116A"/>
    <w:multiLevelType w:val="hybridMultilevel"/>
    <w:tmpl w:val="A11C2826"/>
    <w:lvl w:ilvl="0" w:tplc="BB9018B2">
      <w:start w:val="1"/>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9E25B67"/>
    <w:multiLevelType w:val="hybridMultilevel"/>
    <w:tmpl w:val="45BCB114"/>
    <w:lvl w:ilvl="0" w:tplc="BB9018B2">
      <w:start w:val="1"/>
      <w:numFmt w:val="bullet"/>
      <w:lvlText w:val="-"/>
      <w:lvlJc w:val="left"/>
      <w:pPr>
        <w:ind w:left="1440" w:hanging="360"/>
      </w:pPr>
      <w:rPr>
        <w:rFonts w:ascii="Calibri" w:eastAsia="Calibri"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3B2E1D25"/>
    <w:multiLevelType w:val="hybridMultilevel"/>
    <w:tmpl w:val="89282F02"/>
    <w:lvl w:ilvl="0" w:tplc="BB9018B2">
      <w:start w:val="1"/>
      <w:numFmt w:val="bullet"/>
      <w:lvlText w:val="-"/>
      <w:lvlJc w:val="left"/>
      <w:pPr>
        <w:ind w:left="1080" w:hanging="360"/>
      </w:pPr>
      <w:rPr>
        <w:rFonts w:ascii="Calibri" w:eastAsia="Calibri" w:hAnsi="Calibri" w:cs="Calibri" w:hint="default"/>
      </w:rPr>
    </w:lvl>
    <w:lvl w:ilvl="1" w:tplc="BB9018B2">
      <w:start w:val="1"/>
      <w:numFmt w:val="bullet"/>
      <w:lvlText w:val="-"/>
      <w:lvlJc w:val="left"/>
      <w:pPr>
        <w:ind w:left="1800" w:hanging="360"/>
      </w:pPr>
      <w:rPr>
        <w:rFonts w:ascii="Calibri" w:eastAsia="Calibri" w:hAnsi="Calibri" w:cs="Calibri"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3BBC59E5"/>
    <w:multiLevelType w:val="hybridMultilevel"/>
    <w:tmpl w:val="3EAE1C50"/>
    <w:lvl w:ilvl="0" w:tplc="22B83A76">
      <w:numFmt w:val="bullet"/>
      <w:lvlText w:val="-"/>
      <w:lvlJc w:val="left"/>
      <w:pPr>
        <w:ind w:left="1080" w:hanging="360"/>
      </w:pPr>
      <w:rPr>
        <w:rFonts w:ascii="Calibri" w:eastAsia="Calibri" w:hAnsi="Calibri" w:cs="Calibri"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6" w15:restartNumberingAfterBreak="0">
    <w:nsid w:val="4329408A"/>
    <w:multiLevelType w:val="hybridMultilevel"/>
    <w:tmpl w:val="ACDC042E"/>
    <w:lvl w:ilvl="0" w:tplc="EBA6BC62">
      <w:start w:val="27"/>
      <w:numFmt w:val="bullet"/>
      <w:lvlText w:val="-"/>
      <w:lvlJc w:val="left"/>
      <w:pPr>
        <w:ind w:left="1080" w:hanging="360"/>
      </w:pPr>
      <w:rPr>
        <w:rFonts w:ascii="Calibri" w:eastAsia="Calibr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51DA5894"/>
    <w:multiLevelType w:val="hybridMultilevel"/>
    <w:tmpl w:val="20D4DB4A"/>
    <w:lvl w:ilvl="0" w:tplc="1FBCDFE6">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15:restartNumberingAfterBreak="0">
    <w:nsid w:val="52D86D2C"/>
    <w:multiLevelType w:val="hybridMultilevel"/>
    <w:tmpl w:val="CF14BA9C"/>
    <w:lvl w:ilvl="0" w:tplc="BB9018B2">
      <w:start w:val="1"/>
      <w:numFmt w:val="bullet"/>
      <w:lvlText w:val="-"/>
      <w:lvlJc w:val="left"/>
      <w:pPr>
        <w:ind w:left="1280" w:hanging="360"/>
      </w:pPr>
      <w:rPr>
        <w:rFonts w:ascii="Calibri" w:eastAsia="Calibri" w:hAnsi="Calibri" w:cs="Calibri" w:hint="default"/>
      </w:rPr>
    </w:lvl>
    <w:lvl w:ilvl="1" w:tplc="0C090003" w:tentative="1">
      <w:start w:val="1"/>
      <w:numFmt w:val="bullet"/>
      <w:lvlText w:val="o"/>
      <w:lvlJc w:val="left"/>
      <w:pPr>
        <w:ind w:left="2000" w:hanging="360"/>
      </w:pPr>
      <w:rPr>
        <w:rFonts w:ascii="Courier New" w:hAnsi="Courier New" w:cs="Courier New" w:hint="default"/>
      </w:rPr>
    </w:lvl>
    <w:lvl w:ilvl="2" w:tplc="0C090005" w:tentative="1">
      <w:start w:val="1"/>
      <w:numFmt w:val="bullet"/>
      <w:lvlText w:val=""/>
      <w:lvlJc w:val="left"/>
      <w:pPr>
        <w:ind w:left="2720" w:hanging="360"/>
      </w:pPr>
      <w:rPr>
        <w:rFonts w:ascii="Wingdings" w:hAnsi="Wingdings" w:hint="default"/>
      </w:rPr>
    </w:lvl>
    <w:lvl w:ilvl="3" w:tplc="0C090001" w:tentative="1">
      <w:start w:val="1"/>
      <w:numFmt w:val="bullet"/>
      <w:lvlText w:val=""/>
      <w:lvlJc w:val="left"/>
      <w:pPr>
        <w:ind w:left="3440" w:hanging="360"/>
      </w:pPr>
      <w:rPr>
        <w:rFonts w:ascii="Symbol" w:hAnsi="Symbol" w:hint="default"/>
      </w:rPr>
    </w:lvl>
    <w:lvl w:ilvl="4" w:tplc="0C090003" w:tentative="1">
      <w:start w:val="1"/>
      <w:numFmt w:val="bullet"/>
      <w:lvlText w:val="o"/>
      <w:lvlJc w:val="left"/>
      <w:pPr>
        <w:ind w:left="4160" w:hanging="360"/>
      </w:pPr>
      <w:rPr>
        <w:rFonts w:ascii="Courier New" w:hAnsi="Courier New" w:cs="Courier New" w:hint="default"/>
      </w:rPr>
    </w:lvl>
    <w:lvl w:ilvl="5" w:tplc="0C090005" w:tentative="1">
      <w:start w:val="1"/>
      <w:numFmt w:val="bullet"/>
      <w:lvlText w:val=""/>
      <w:lvlJc w:val="left"/>
      <w:pPr>
        <w:ind w:left="4880" w:hanging="360"/>
      </w:pPr>
      <w:rPr>
        <w:rFonts w:ascii="Wingdings" w:hAnsi="Wingdings" w:hint="default"/>
      </w:rPr>
    </w:lvl>
    <w:lvl w:ilvl="6" w:tplc="0C090001" w:tentative="1">
      <w:start w:val="1"/>
      <w:numFmt w:val="bullet"/>
      <w:lvlText w:val=""/>
      <w:lvlJc w:val="left"/>
      <w:pPr>
        <w:ind w:left="5600" w:hanging="360"/>
      </w:pPr>
      <w:rPr>
        <w:rFonts w:ascii="Symbol" w:hAnsi="Symbol" w:hint="default"/>
      </w:rPr>
    </w:lvl>
    <w:lvl w:ilvl="7" w:tplc="0C090003" w:tentative="1">
      <w:start w:val="1"/>
      <w:numFmt w:val="bullet"/>
      <w:lvlText w:val="o"/>
      <w:lvlJc w:val="left"/>
      <w:pPr>
        <w:ind w:left="6320" w:hanging="360"/>
      </w:pPr>
      <w:rPr>
        <w:rFonts w:ascii="Courier New" w:hAnsi="Courier New" w:cs="Courier New" w:hint="default"/>
      </w:rPr>
    </w:lvl>
    <w:lvl w:ilvl="8" w:tplc="0C090005" w:tentative="1">
      <w:start w:val="1"/>
      <w:numFmt w:val="bullet"/>
      <w:lvlText w:val=""/>
      <w:lvlJc w:val="left"/>
      <w:pPr>
        <w:ind w:left="7040" w:hanging="360"/>
      </w:pPr>
      <w:rPr>
        <w:rFonts w:ascii="Wingdings" w:hAnsi="Wingdings" w:hint="default"/>
      </w:rPr>
    </w:lvl>
  </w:abstractNum>
  <w:abstractNum w:abstractNumId="9" w15:restartNumberingAfterBreak="0">
    <w:nsid w:val="5C45192C"/>
    <w:multiLevelType w:val="hybridMultilevel"/>
    <w:tmpl w:val="D3DAD44E"/>
    <w:lvl w:ilvl="0" w:tplc="BB9018B2">
      <w:start w:val="1"/>
      <w:numFmt w:val="bullet"/>
      <w:lvlText w:val="-"/>
      <w:lvlJc w:val="left"/>
      <w:pPr>
        <w:ind w:left="1085" w:hanging="360"/>
      </w:pPr>
      <w:rPr>
        <w:rFonts w:ascii="Calibri" w:eastAsia="Calibri" w:hAnsi="Calibri" w:cs="Calibri" w:hint="default"/>
      </w:rPr>
    </w:lvl>
    <w:lvl w:ilvl="1" w:tplc="0C090003" w:tentative="1">
      <w:start w:val="1"/>
      <w:numFmt w:val="bullet"/>
      <w:lvlText w:val="o"/>
      <w:lvlJc w:val="left"/>
      <w:pPr>
        <w:ind w:left="1245" w:hanging="360"/>
      </w:pPr>
      <w:rPr>
        <w:rFonts w:ascii="Courier New" w:hAnsi="Courier New" w:cs="Courier New" w:hint="default"/>
      </w:rPr>
    </w:lvl>
    <w:lvl w:ilvl="2" w:tplc="0C090005" w:tentative="1">
      <w:start w:val="1"/>
      <w:numFmt w:val="bullet"/>
      <w:lvlText w:val=""/>
      <w:lvlJc w:val="left"/>
      <w:pPr>
        <w:ind w:left="1965" w:hanging="360"/>
      </w:pPr>
      <w:rPr>
        <w:rFonts w:ascii="Wingdings" w:hAnsi="Wingdings" w:hint="default"/>
      </w:rPr>
    </w:lvl>
    <w:lvl w:ilvl="3" w:tplc="0C090001" w:tentative="1">
      <w:start w:val="1"/>
      <w:numFmt w:val="bullet"/>
      <w:lvlText w:val=""/>
      <w:lvlJc w:val="left"/>
      <w:pPr>
        <w:ind w:left="2685" w:hanging="360"/>
      </w:pPr>
      <w:rPr>
        <w:rFonts w:ascii="Symbol" w:hAnsi="Symbol" w:hint="default"/>
      </w:rPr>
    </w:lvl>
    <w:lvl w:ilvl="4" w:tplc="0C090003" w:tentative="1">
      <w:start w:val="1"/>
      <w:numFmt w:val="bullet"/>
      <w:lvlText w:val="o"/>
      <w:lvlJc w:val="left"/>
      <w:pPr>
        <w:ind w:left="3405" w:hanging="360"/>
      </w:pPr>
      <w:rPr>
        <w:rFonts w:ascii="Courier New" w:hAnsi="Courier New" w:cs="Courier New" w:hint="default"/>
      </w:rPr>
    </w:lvl>
    <w:lvl w:ilvl="5" w:tplc="0C090005" w:tentative="1">
      <w:start w:val="1"/>
      <w:numFmt w:val="bullet"/>
      <w:lvlText w:val=""/>
      <w:lvlJc w:val="left"/>
      <w:pPr>
        <w:ind w:left="4125" w:hanging="360"/>
      </w:pPr>
      <w:rPr>
        <w:rFonts w:ascii="Wingdings" w:hAnsi="Wingdings" w:hint="default"/>
      </w:rPr>
    </w:lvl>
    <w:lvl w:ilvl="6" w:tplc="0C090001" w:tentative="1">
      <w:start w:val="1"/>
      <w:numFmt w:val="bullet"/>
      <w:lvlText w:val=""/>
      <w:lvlJc w:val="left"/>
      <w:pPr>
        <w:ind w:left="4845" w:hanging="360"/>
      </w:pPr>
      <w:rPr>
        <w:rFonts w:ascii="Symbol" w:hAnsi="Symbol" w:hint="default"/>
      </w:rPr>
    </w:lvl>
    <w:lvl w:ilvl="7" w:tplc="0C090003" w:tentative="1">
      <w:start w:val="1"/>
      <w:numFmt w:val="bullet"/>
      <w:lvlText w:val="o"/>
      <w:lvlJc w:val="left"/>
      <w:pPr>
        <w:ind w:left="5565" w:hanging="360"/>
      </w:pPr>
      <w:rPr>
        <w:rFonts w:ascii="Courier New" w:hAnsi="Courier New" w:cs="Courier New" w:hint="default"/>
      </w:rPr>
    </w:lvl>
    <w:lvl w:ilvl="8" w:tplc="0C090005" w:tentative="1">
      <w:start w:val="1"/>
      <w:numFmt w:val="bullet"/>
      <w:lvlText w:val=""/>
      <w:lvlJc w:val="left"/>
      <w:pPr>
        <w:ind w:left="6285" w:hanging="360"/>
      </w:pPr>
      <w:rPr>
        <w:rFonts w:ascii="Wingdings" w:hAnsi="Wingdings" w:hint="default"/>
      </w:rPr>
    </w:lvl>
  </w:abstractNum>
  <w:abstractNum w:abstractNumId="10" w15:restartNumberingAfterBreak="0">
    <w:nsid w:val="5FDE1A86"/>
    <w:multiLevelType w:val="hybridMultilevel"/>
    <w:tmpl w:val="C14ADC64"/>
    <w:lvl w:ilvl="0" w:tplc="7D2C8444">
      <w:start w:val="1"/>
      <w:numFmt w:val="decimal"/>
      <w:pStyle w:val="Heading2"/>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2731E2E"/>
    <w:multiLevelType w:val="hybridMultilevel"/>
    <w:tmpl w:val="B5144762"/>
    <w:lvl w:ilvl="0" w:tplc="34E0CB4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69E665F4"/>
    <w:multiLevelType w:val="hybridMultilevel"/>
    <w:tmpl w:val="3C1C5FE8"/>
    <w:lvl w:ilvl="0" w:tplc="B32C45C6">
      <w:start w:val="1"/>
      <w:numFmt w:val="decimal"/>
      <w:lvlText w:val="%1."/>
      <w:lvlJc w:val="left"/>
      <w:pPr>
        <w:ind w:left="1280" w:hanging="360"/>
      </w:pPr>
      <w:rPr>
        <w:rFonts w:ascii="Calibri" w:eastAsia="Calibri" w:hAnsi="Calibri" w:cs="Calibri"/>
      </w:rPr>
    </w:lvl>
    <w:lvl w:ilvl="1" w:tplc="0C090019">
      <w:start w:val="1"/>
      <w:numFmt w:val="lowerLetter"/>
      <w:lvlText w:val="%2."/>
      <w:lvlJc w:val="left"/>
      <w:pPr>
        <w:ind w:left="2000" w:hanging="360"/>
      </w:pPr>
    </w:lvl>
    <w:lvl w:ilvl="2" w:tplc="0C09001B" w:tentative="1">
      <w:start w:val="1"/>
      <w:numFmt w:val="lowerRoman"/>
      <w:lvlText w:val="%3."/>
      <w:lvlJc w:val="right"/>
      <w:pPr>
        <w:ind w:left="2720" w:hanging="180"/>
      </w:pPr>
    </w:lvl>
    <w:lvl w:ilvl="3" w:tplc="0C09000F" w:tentative="1">
      <w:start w:val="1"/>
      <w:numFmt w:val="decimal"/>
      <w:lvlText w:val="%4."/>
      <w:lvlJc w:val="left"/>
      <w:pPr>
        <w:ind w:left="3440" w:hanging="360"/>
      </w:pPr>
    </w:lvl>
    <w:lvl w:ilvl="4" w:tplc="0C090019" w:tentative="1">
      <w:start w:val="1"/>
      <w:numFmt w:val="lowerLetter"/>
      <w:lvlText w:val="%5."/>
      <w:lvlJc w:val="left"/>
      <w:pPr>
        <w:ind w:left="4160" w:hanging="360"/>
      </w:pPr>
    </w:lvl>
    <w:lvl w:ilvl="5" w:tplc="0C09001B" w:tentative="1">
      <w:start w:val="1"/>
      <w:numFmt w:val="lowerRoman"/>
      <w:lvlText w:val="%6."/>
      <w:lvlJc w:val="right"/>
      <w:pPr>
        <w:ind w:left="4880" w:hanging="180"/>
      </w:pPr>
    </w:lvl>
    <w:lvl w:ilvl="6" w:tplc="0C09000F" w:tentative="1">
      <w:start w:val="1"/>
      <w:numFmt w:val="decimal"/>
      <w:lvlText w:val="%7."/>
      <w:lvlJc w:val="left"/>
      <w:pPr>
        <w:ind w:left="5600" w:hanging="360"/>
      </w:pPr>
    </w:lvl>
    <w:lvl w:ilvl="7" w:tplc="0C090019" w:tentative="1">
      <w:start w:val="1"/>
      <w:numFmt w:val="lowerLetter"/>
      <w:lvlText w:val="%8."/>
      <w:lvlJc w:val="left"/>
      <w:pPr>
        <w:ind w:left="6320" w:hanging="360"/>
      </w:pPr>
    </w:lvl>
    <w:lvl w:ilvl="8" w:tplc="0C09001B" w:tentative="1">
      <w:start w:val="1"/>
      <w:numFmt w:val="lowerRoman"/>
      <w:lvlText w:val="%9."/>
      <w:lvlJc w:val="right"/>
      <w:pPr>
        <w:ind w:left="7040" w:hanging="180"/>
      </w:pPr>
    </w:lvl>
  </w:abstractNum>
  <w:abstractNum w:abstractNumId="13" w15:restartNumberingAfterBreak="0">
    <w:nsid w:val="6AA92265"/>
    <w:multiLevelType w:val="hybridMultilevel"/>
    <w:tmpl w:val="9BFCB6EC"/>
    <w:lvl w:ilvl="0" w:tplc="0C090011">
      <w:start w:val="1"/>
      <w:numFmt w:val="decimal"/>
      <w:lvlText w:val="%1)"/>
      <w:lvlJc w:val="left"/>
      <w:pPr>
        <w:ind w:left="1080" w:hanging="360"/>
      </w:pPr>
      <w:rPr>
        <w:rFonts w:hint="default"/>
      </w:rPr>
    </w:lvl>
    <w:lvl w:ilvl="1" w:tplc="BB9018B2">
      <w:start w:val="1"/>
      <w:numFmt w:val="bullet"/>
      <w:lvlText w:val="-"/>
      <w:lvlJc w:val="left"/>
      <w:pPr>
        <w:ind w:left="1800" w:hanging="360"/>
      </w:pPr>
      <w:rPr>
        <w:rFonts w:ascii="Calibri" w:eastAsia="Calibri" w:hAnsi="Calibri" w:cs="Calibri"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3"/>
  </w:num>
  <w:num w:numId="2">
    <w:abstractNumId w:val="8"/>
  </w:num>
  <w:num w:numId="3">
    <w:abstractNumId w:val="0"/>
  </w:num>
  <w:num w:numId="4">
    <w:abstractNumId w:val="4"/>
  </w:num>
  <w:num w:numId="5">
    <w:abstractNumId w:val="9"/>
  </w:num>
  <w:num w:numId="6">
    <w:abstractNumId w:val="11"/>
  </w:num>
  <w:num w:numId="7">
    <w:abstractNumId w:val="3"/>
  </w:num>
  <w:num w:numId="8">
    <w:abstractNumId w:val="2"/>
  </w:num>
  <w:num w:numId="9">
    <w:abstractNumId w:val="1"/>
  </w:num>
  <w:num w:numId="10">
    <w:abstractNumId w:val="5"/>
  </w:num>
  <w:num w:numId="11">
    <w:abstractNumId w:val="12"/>
  </w:num>
  <w:num w:numId="12">
    <w:abstractNumId w:val="10"/>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F37"/>
    <w:rsid w:val="00044210"/>
    <w:rsid w:val="00045696"/>
    <w:rsid w:val="00054CCF"/>
    <w:rsid w:val="00056E86"/>
    <w:rsid w:val="000A43C6"/>
    <w:rsid w:val="000B1F98"/>
    <w:rsid w:val="000B54B6"/>
    <w:rsid w:val="0011392A"/>
    <w:rsid w:val="00116801"/>
    <w:rsid w:val="00133E82"/>
    <w:rsid w:val="001376A6"/>
    <w:rsid w:val="00151CAB"/>
    <w:rsid w:val="00172CC7"/>
    <w:rsid w:val="00200947"/>
    <w:rsid w:val="002B3103"/>
    <w:rsid w:val="002B43E1"/>
    <w:rsid w:val="00305D7D"/>
    <w:rsid w:val="003222A0"/>
    <w:rsid w:val="0032578C"/>
    <w:rsid w:val="00376F51"/>
    <w:rsid w:val="00381F1B"/>
    <w:rsid w:val="003A658A"/>
    <w:rsid w:val="003B4360"/>
    <w:rsid w:val="0045414B"/>
    <w:rsid w:val="00456C06"/>
    <w:rsid w:val="00460D69"/>
    <w:rsid w:val="004E4F37"/>
    <w:rsid w:val="00502B70"/>
    <w:rsid w:val="00552CFC"/>
    <w:rsid w:val="0059700B"/>
    <w:rsid w:val="005A7A27"/>
    <w:rsid w:val="005C7B22"/>
    <w:rsid w:val="005E0D21"/>
    <w:rsid w:val="00615271"/>
    <w:rsid w:val="00632296"/>
    <w:rsid w:val="00663EFD"/>
    <w:rsid w:val="006C2B4F"/>
    <w:rsid w:val="00705A45"/>
    <w:rsid w:val="00741056"/>
    <w:rsid w:val="007A417B"/>
    <w:rsid w:val="007A46B4"/>
    <w:rsid w:val="00812F75"/>
    <w:rsid w:val="0082250F"/>
    <w:rsid w:val="008A7B7B"/>
    <w:rsid w:val="008B2096"/>
    <w:rsid w:val="008C7610"/>
    <w:rsid w:val="00902529"/>
    <w:rsid w:val="009038D8"/>
    <w:rsid w:val="00911B4B"/>
    <w:rsid w:val="00947048"/>
    <w:rsid w:val="00950C4A"/>
    <w:rsid w:val="00993FEE"/>
    <w:rsid w:val="00997F32"/>
    <w:rsid w:val="00A8091A"/>
    <w:rsid w:val="00B41243"/>
    <w:rsid w:val="00B62CB4"/>
    <w:rsid w:val="00BC3928"/>
    <w:rsid w:val="00BD405C"/>
    <w:rsid w:val="00C715AB"/>
    <w:rsid w:val="00C71AFF"/>
    <w:rsid w:val="00CA5A19"/>
    <w:rsid w:val="00CA6355"/>
    <w:rsid w:val="00D242BC"/>
    <w:rsid w:val="00DC2BC8"/>
    <w:rsid w:val="00DE7DBB"/>
    <w:rsid w:val="00E92926"/>
    <w:rsid w:val="00E9353C"/>
    <w:rsid w:val="00EA4DED"/>
    <w:rsid w:val="00EB098C"/>
    <w:rsid w:val="00EE7262"/>
    <w:rsid w:val="00EE7C12"/>
    <w:rsid w:val="00EF6818"/>
    <w:rsid w:val="00F1568B"/>
    <w:rsid w:val="00F62E0B"/>
    <w:rsid w:val="00FA6729"/>
    <w:rsid w:val="00FB1D75"/>
    <w:rsid w:val="00FE4B81"/>
    <w:rsid w:val="00FF79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9F272"/>
  <w15:docId w15:val="{73E6B6E5-AA38-4EC2-9373-345C774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103"/>
    <w:pPr>
      <w:spacing w:after="120" w:line="21" w:lineRule="atLeast"/>
      <w:ind w:left="72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17"/>
      <w:ind w:left="930" w:hanging="10"/>
      <w:outlineLvl w:val="0"/>
    </w:pPr>
    <w:rPr>
      <w:rFonts w:ascii="Arial" w:eastAsia="Arial" w:hAnsi="Arial" w:cs="Arial"/>
      <w:b/>
      <w:color w:val="000000"/>
    </w:rPr>
  </w:style>
  <w:style w:type="paragraph" w:styleId="Heading2">
    <w:name w:val="heading 2"/>
    <w:basedOn w:val="ListParagraph"/>
    <w:next w:val="Normal"/>
    <w:link w:val="Heading2Char"/>
    <w:uiPriority w:val="9"/>
    <w:unhideWhenUsed/>
    <w:qFormat/>
    <w:rsid w:val="002B3103"/>
    <w:pPr>
      <w:numPr>
        <w:numId w:val="12"/>
      </w:numPr>
      <w:spacing w:before="240" w:after="120" w:line="264" w:lineRule="auto"/>
      <w:ind w:left="714" w:hanging="357"/>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2"/>
    </w:rPr>
  </w:style>
  <w:style w:type="character" w:customStyle="1" w:styleId="Heading2Char">
    <w:name w:val="Heading 2 Char"/>
    <w:link w:val="Heading2"/>
    <w:uiPriority w:val="9"/>
    <w:rsid w:val="002B3103"/>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D242BC"/>
    <w:rPr>
      <w:color w:val="0563C1" w:themeColor="hyperlink"/>
      <w:u w:val="single"/>
    </w:rPr>
  </w:style>
  <w:style w:type="character" w:styleId="Mention">
    <w:name w:val="Mention"/>
    <w:basedOn w:val="DefaultParagraphFont"/>
    <w:uiPriority w:val="99"/>
    <w:semiHidden/>
    <w:unhideWhenUsed/>
    <w:rsid w:val="00D242BC"/>
    <w:rPr>
      <w:color w:val="2B579A"/>
      <w:shd w:val="clear" w:color="auto" w:fill="E6E6E6"/>
    </w:rPr>
  </w:style>
  <w:style w:type="paragraph" w:styleId="ListParagraph">
    <w:name w:val="List Paragraph"/>
    <w:basedOn w:val="Normal"/>
    <w:uiPriority w:val="34"/>
    <w:qFormat/>
    <w:rsid w:val="00E92926"/>
    <w:pPr>
      <w:spacing w:after="160" w:line="259" w:lineRule="auto"/>
      <w:contextualSpacing/>
    </w:pPr>
  </w:style>
  <w:style w:type="paragraph" w:styleId="BalloonText">
    <w:name w:val="Balloon Text"/>
    <w:basedOn w:val="Normal"/>
    <w:link w:val="BalloonTextChar"/>
    <w:uiPriority w:val="99"/>
    <w:semiHidden/>
    <w:unhideWhenUsed/>
    <w:rsid w:val="007A46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46B4"/>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9588514">
      <w:bodyDiv w:val="1"/>
      <w:marLeft w:val="0"/>
      <w:marRight w:val="0"/>
      <w:marTop w:val="0"/>
      <w:marBottom w:val="0"/>
      <w:divBdr>
        <w:top w:val="none" w:sz="0" w:space="0" w:color="auto"/>
        <w:left w:val="none" w:sz="0" w:space="0" w:color="auto"/>
        <w:bottom w:val="none" w:sz="0" w:space="0" w:color="auto"/>
        <w:right w:val="none" w:sz="0" w:space="0" w:color="auto"/>
      </w:divBdr>
    </w:div>
    <w:div w:id="1425883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UO8/I9liQM2AN7VyN4Uhy+vk0vs=</DigestValue>
    </Reference>
    <Reference Type="http://www.w3.org/2000/09/xmldsig#Object" URI="#idOfficeObject">
      <DigestMethod Algorithm="http://www.w3.org/2000/09/xmldsig#sha1"/>
      <DigestValue>2NRSgfoxMuqaZdEI7ILKP+fytNg=</DigestValue>
    </Reference>
    <Reference Type="http://uri.etsi.org/01903#SignedProperties" URI="#idSignedProperties">
      <Transforms>
        <Transform Algorithm="http://www.w3.org/TR/2001/REC-xml-c14n-20010315"/>
      </Transforms>
      <DigestMethod Algorithm="http://www.w3.org/2000/09/xmldsig#sha1"/>
      <DigestValue>I60hkzH3ihbDeW/tP1ZWe8IVIRo=</DigestValue>
    </Reference>
  </SignedInfo>
  <SignatureValue>m4dlyaDjEWizC4EivDh3X8A0AhhcYrmeP5tL0Qif5UdScgd5hJFElfNvr0lDCtjCbPZcE6xryBt8
B5okFe6p2qxrn3ZkkvQg63wye17YTYVnpyaT4+iII9YpQrZ0VRmLhMrLgy+X4rUjk4XIb9Y6E9He
iZGmj9Ef6d2hMy2QwXc=</SignatureValue>
  <KeyInfo>
    <X509Data>
      <X509Certificate>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0/09/xmldsig#sha1"/>
        <DigestValue>caQUImpTPzf8Yg5mFoZd2qWnFy0=</DigestValue>
      </Reference>
      <Reference URI="/word/document.xml?ContentType=application/vnd.openxmlformats-officedocument.wordprocessingml.document.main+xml">
        <DigestMethod Algorithm="http://www.w3.org/2000/09/xmldsig#sha1"/>
        <DigestValue>rAbudMrsmlN7twtx5vE+yf79W30=</DigestValue>
      </Reference>
      <Reference URI="/word/endnotes.xml?ContentType=application/vnd.openxmlformats-officedocument.wordprocessingml.endnotes+xml">
        <DigestMethod Algorithm="http://www.w3.org/2000/09/xmldsig#sha1"/>
        <DigestValue>A2Z/NMXu2cCramrLooJoHL5eBUA=</DigestValue>
      </Reference>
      <Reference URI="/word/fontTable.xml?ContentType=application/vnd.openxmlformats-officedocument.wordprocessingml.fontTable+xml">
        <DigestMethod Algorithm="http://www.w3.org/2000/09/xmldsig#sha1"/>
        <DigestValue>ISJb5wtspz3UQZNw4zv5TXHlPJM=</DigestValue>
      </Reference>
      <Reference URI="/word/footnotes.xml?ContentType=application/vnd.openxmlformats-officedocument.wordprocessingml.footnotes+xml">
        <DigestMethod Algorithm="http://www.w3.org/2000/09/xmldsig#sha1"/>
        <DigestValue>epx2gGiBluNb3rJnq24MCUOVeN0=</DigestValue>
      </Reference>
      <Reference URI="/word/header1.xml?ContentType=application/vnd.openxmlformats-officedocument.wordprocessingml.header+xml">
        <DigestMethod Algorithm="http://www.w3.org/2000/09/xmldsig#sha1"/>
        <DigestValue>L1psOru7kVwuBhsiKxJQEVBg9Vs=</DigestValue>
      </Reference>
      <Reference URI="/word/header2.xml?ContentType=application/vnd.openxmlformats-officedocument.wordprocessingml.header+xml">
        <DigestMethod Algorithm="http://www.w3.org/2000/09/xmldsig#sha1"/>
        <DigestValue>U1Do3EItrK8hy+rt9ru6zQEcWXA=</DigestValue>
      </Reference>
      <Reference URI="/word/header3.xml?ContentType=application/vnd.openxmlformats-officedocument.wordprocessingml.header+xml">
        <DigestMethod Algorithm="http://www.w3.org/2000/09/xmldsig#sha1"/>
        <DigestValue>a8q8uS1sRUYvwyM9fjITGsfU3XI=</DigestValue>
      </Reference>
      <Reference URI="/word/media/image1.png?ContentType=image/png">
        <DigestMethod Algorithm="http://www.w3.org/2000/09/xmldsig#sha1"/>
        <DigestValue>2U1CeuJSvBQeCwgSQdhPENtgbYY=</DigestValue>
      </Reference>
      <Reference URI="/word/numbering.xml?ContentType=application/vnd.openxmlformats-officedocument.wordprocessingml.numbering+xml">
        <DigestMethod Algorithm="http://www.w3.org/2000/09/xmldsig#sha1"/>
        <DigestValue>eYA1ju1SSxSmjecG1p082f6wmCA=</DigestValue>
      </Reference>
      <Reference URI="/word/settings.xml?ContentType=application/vnd.openxmlformats-officedocument.wordprocessingml.settings+xml">
        <DigestMethod Algorithm="http://www.w3.org/2000/09/xmldsig#sha1"/>
        <DigestValue>WpHWV5bsVo6lsF/P8crhnin11Js=</DigestValue>
      </Reference>
      <Reference URI="/word/styles.xml?ContentType=application/vnd.openxmlformats-officedocument.wordprocessingml.styles+xml">
        <DigestMethod Algorithm="http://www.w3.org/2000/09/xmldsig#sha1"/>
        <DigestValue>xKngPIKwdHtdjU2//yVKhXeG16c=</DigestValue>
      </Reference>
      <Reference URI="/word/theme/theme1.xml?ContentType=application/vnd.openxmlformats-officedocument.theme+xml">
        <DigestMethod Algorithm="http://www.w3.org/2000/09/xmldsig#sha1"/>
        <DigestValue>9cuoplDWramNFw8bIgmNk7j/iHk=</DigestValue>
      </Reference>
      <Reference URI="/word/webSettings.xml?ContentType=application/vnd.openxmlformats-officedocument.wordprocessingml.webSettings+xml">
        <DigestMethod Algorithm="http://www.w3.org/2000/09/xmldsig#sha1"/>
        <DigestValue>jLdW6rLQwvi3eUKVXO7Nhw9S6Us=</DigestValue>
      </Reference>
    </Manifest>
    <SignatureProperties>
      <SignatureProperty Id="idSignatureTime" Target="#idPackageSignature">
        <mdssi:SignatureTime xmlns:mdssi="http://schemas.openxmlformats.org/package/2006/digital-signature">
          <mdssi:Format>YYYY-MM-DDThh:mm:ssTZD</mdssi:Format>
          <mdssi:Value>2020-07-28T05:07:19Z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Submission to ESB</SignatureComments>
          <WindowsVersion>10.0</WindowsVersion>
          <OfficeVersion>16.0.13001/20</OfficeVersion>
          <ApplicationVersion>16.0.13001</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InfoV2 xmlns="http://schemas.microsoft.com/office/2006/digsig">
          <Address1>Po Box 3089</Address1>
          <Address2/>
        </SignatureInfoV2>
      </SignatureProperty>
    </SignatureProperties>
  </Object>
  <Object>
    <xd:QualifyingProperties xmlns:xd="http://uri.etsi.org/01903/v1.3.2#" Target="#idPackageSignature">
      <xd:SignedProperties Id="idSignedProperties">
        <xd:SignedSignatureProperties>
          <xd:SigningTime>2020-07-28T05:07:19Z</xd:SigningTime>
          <xd:SigningCertificate>
            <xd:Cert>
              <xd:CertDigest>
                <DigestMethod Algorithm="http://www.w3.org/2000/09/xmldsig#sha1"/>
                <DigestValue>Q63qE7lMSY8LPfVm5hIxEV35pzA=</DigestValue>
              </xd:CertDigest>
              <xd:IssuerSerial>
                <X509IssuerName>CN=Token Signing Public Key</X509IssuerName>
                <X509SerialNumber>174833539975254490808837784084292825639379365943</X509SerialNumber>
              </xd:IssuerSerial>
            </xd:Cert>
          </xd:SigningCertificate>
          <xd:SignaturePolicyIdentifier>
            <xd:SignaturePolicyImplied/>
          </xd:SignaturePolicyIdentifier>
          <xd:SignatureProductionPlace>
            <xd:City>Norman Park</xd:City>
            <xd:StateOrProvince>Qld</xd:StateOrProvince>
            <xd:PostalCode>4170</xd:PostalCode>
            <xd:CountryName>Australia</xd:CountryName>
          </xd:SignatureProductionPlace>
          <xd:SignerRole>
            <xd:ClaimedRoles>
              <xd:ClaimedRole>Mike Swanston</xd:ClaimedRole>
            </xd:ClaimedRoles>
          </xd:SignerRole>
        </xd:SignedSignatureProperties>
        <xd:SignedDataObjectProperties>
          <xd:CommitmentTypeIndication>
            <xd:CommitmentTypeId>
              <xd:Identifier>http://uri.etsi.org/01903/v1.2.2#ProofOfOrigin</xd:Identifier>
              <xd:Description>Created and approved this document</xd:Description>
            </xd:CommitmentTypeId>
            <xd:AllSignedDataObjects/>
            <xd:CommitmentTypeQualifiers>
              <xd:CommitmentTypeQualifier>Submission to ESB</xd:CommitmentTypeQualifier>
            </xd:CommitmentTypeQualifiers>
          </xd:CommitmentTypeIndication>
        </xd:SignedDataObject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B04336-5882-445C-AF1C-07ED843A37FB}">
  <ds:schemaRefs>
    <ds:schemaRef ds:uri="http://schemas.openxmlformats.org/officeDocument/2006/bibliography"/>
  </ds:schemaRefs>
</ds:datastoreItem>
</file>

<file path=customXml/itemProps2.xml><?xml version="1.0" encoding="utf-8"?>
<ds:datastoreItem xmlns:ds="http://schemas.openxmlformats.org/officeDocument/2006/customXml" ds:itemID="{A94146C3-CE33-4E03-AFA2-939C39CA9070}"/>
</file>

<file path=customXml/itemProps3.xml><?xml version="1.0" encoding="utf-8"?>
<ds:datastoreItem xmlns:ds="http://schemas.openxmlformats.org/officeDocument/2006/customXml" ds:itemID="{4E175B9A-10C2-496B-B337-BFFB92C466CE}"/>
</file>

<file path=customXml/itemProps4.xml><?xml version="1.0" encoding="utf-8"?>
<ds:datastoreItem xmlns:ds="http://schemas.openxmlformats.org/officeDocument/2006/customXml" ds:itemID="{8B4DB72B-C51C-448C-93E4-66A8805CABD1}"/>
</file>

<file path=docProps/app.xml><?xml version="1.0" encoding="utf-8"?>
<Properties xmlns="http://schemas.openxmlformats.org/officeDocument/2006/extended-properties" xmlns:vt="http://schemas.openxmlformats.org/officeDocument/2006/docPropsVTypes">
  <Template>Normal.dotm</Template>
  <TotalTime>3</TotalTime>
  <Pages>5</Pages>
  <Words>1698</Words>
  <Characters>9685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Customer Advocate response to ESB Governance of DER Techncal Standards Consultation Paper</dc:title>
  <dc:subject/>
  <dc:creator>Mike Swanston</dc:creator>
  <cp:keywords>TCA, ESB, DER</cp:keywords>
  <dc:description>sent to ESB 28 July 2020</dc:description>
  <cp:lastModifiedBy>Mike Swanston</cp:lastModifiedBy>
  <cp:revision>4</cp:revision>
  <cp:lastPrinted>2020-07-28T05:04:00Z</cp:lastPrinted>
  <dcterms:created xsi:type="dcterms:W3CDTF">2020-07-28T04:57:00Z</dcterms:created>
  <dcterms:modified xsi:type="dcterms:W3CDTF">2020-07-28T05:06:00Z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