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F5E4A" w14:textId="77777777" w:rsidR="005E740A" w:rsidRDefault="0038242F">
      <w:pPr>
        <w:rPr>
          <w:rFonts w:ascii="Muli" w:eastAsia="Muli" w:hAnsi="Muli" w:cs="Muli"/>
        </w:rPr>
      </w:pPr>
      <w:r>
        <w:rPr>
          <w:rFonts w:ascii="Muli" w:eastAsia="Muli" w:hAnsi="Muli" w:cs="Muli"/>
        </w:rPr>
        <w:t>July 28, 2020</w:t>
      </w:r>
    </w:p>
    <w:p w14:paraId="6A10ED95" w14:textId="77777777" w:rsidR="005E740A" w:rsidRDefault="005E740A">
      <w:pPr>
        <w:rPr>
          <w:rFonts w:ascii="Muli" w:eastAsia="Muli" w:hAnsi="Muli" w:cs="Muli"/>
        </w:rPr>
      </w:pPr>
    </w:p>
    <w:p w14:paraId="26776FE1" w14:textId="77777777" w:rsidR="005E740A" w:rsidRDefault="0038242F">
      <w:pPr>
        <w:rPr>
          <w:rFonts w:ascii="Muli" w:eastAsia="Muli" w:hAnsi="Muli" w:cs="Muli"/>
          <w:b/>
        </w:rPr>
      </w:pPr>
      <w:r>
        <w:rPr>
          <w:rFonts w:ascii="Muli" w:eastAsia="Muli" w:hAnsi="Muli" w:cs="Muli"/>
          <w:b/>
        </w:rPr>
        <w:t>Submission to ESB Governance of DER Technical Standards Consultation Paper</w:t>
      </w:r>
    </w:p>
    <w:p w14:paraId="4F0BE327" w14:textId="77777777" w:rsidR="005E740A" w:rsidRDefault="005E740A">
      <w:pPr>
        <w:rPr>
          <w:rFonts w:ascii="Muli" w:eastAsia="Muli" w:hAnsi="Muli" w:cs="Muli"/>
          <w:b/>
        </w:rPr>
      </w:pPr>
    </w:p>
    <w:p w14:paraId="161635E6" w14:textId="77777777" w:rsidR="005E740A" w:rsidRDefault="0038242F">
      <w:pPr>
        <w:rPr>
          <w:rFonts w:ascii="Muli" w:eastAsia="Muli" w:hAnsi="Muli" w:cs="Muli"/>
        </w:rPr>
      </w:pPr>
      <w:proofErr w:type="spellStart"/>
      <w:r>
        <w:rPr>
          <w:rFonts w:ascii="Muli" w:eastAsia="Muli" w:hAnsi="Muli" w:cs="Muli"/>
        </w:rPr>
        <w:t>Wattwatchers</w:t>
      </w:r>
      <w:proofErr w:type="spellEnd"/>
      <w:r>
        <w:rPr>
          <w:rFonts w:ascii="Muli" w:eastAsia="Muli" w:hAnsi="Muli" w:cs="Muli"/>
        </w:rPr>
        <w:t xml:space="preserve"> Digital Energy </w:t>
      </w:r>
      <w:r w:rsidR="003070C2">
        <w:rPr>
          <w:rFonts w:ascii="Muli" w:eastAsia="Muli" w:hAnsi="Muli" w:cs="Muli"/>
        </w:rPr>
        <w:t>(</w:t>
      </w:r>
      <w:proofErr w:type="spellStart"/>
      <w:r w:rsidR="003070C2">
        <w:rPr>
          <w:rFonts w:ascii="Muli" w:eastAsia="Muli" w:hAnsi="Muli" w:cs="Muli"/>
        </w:rPr>
        <w:t>Wattwatchers</w:t>
      </w:r>
      <w:proofErr w:type="spellEnd"/>
      <w:r w:rsidR="003070C2">
        <w:rPr>
          <w:rFonts w:ascii="Muli" w:eastAsia="Muli" w:hAnsi="Muli" w:cs="Muli"/>
        </w:rPr>
        <w:t xml:space="preserve">) </w:t>
      </w:r>
      <w:r>
        <w:rPr>
          <w:rFonts w:ascii="Muli" w:eastAsia="Muli" w:hAnsi="Muli" w:cs="Muli"/>
        </w:rPr>
        <w:t>welcomes this opportunity to provide feedback on the ESB Governance of DER Technical Standards Consultation Paper.</w:t>
      </w:r>
    </w:p>
    <w:p w14:paraId="6D1E6D27" w14:textId="77777777" w:rsidR="005E740A" w:rsidRDefault="005E740A">
      <w:pPr>
        <w:rPr>
          <w:rFonts w:ascii="Muli" w:eastAsia="Muli" w:hAnsi="Muli" w:cs="Muli"/>
        </w:rPr>
      </w:pPr>
    </w:p>
    <w:p w14:paraId="434E5EA3" w14:textId="77777777" w:rsidR="005E740A" w:rsidRDefault="0038242F">
      <w:pPr>
        <w:shd w:val="clear" w:color="auto" w:fill="FFFFFF"/>
        <w:rPr>
          <w:rFonts w:ascii="Muli" w:eastAsia="Muli" w:hAnsi="Muli" w:cs="Muli"/>
        </w:rPr>
      </w:pPr>
      <w:proofErr w:type="spellStart"/>
      <w:r>
        <w:rPr>
          <w:rFonts w:ascii="Muli" w:eastAsia="Muli" w:hAnsi="Muli" w:cs="Muli"/>
        </w:rPr>
        <w:t>Wattwatchers</w:t>
      </w:r>
      <w:proofErr w:type="spellEnd"/>
      <w:r>
        <w:rPr>
          <w:rFonts w:ascii="Muli" w:eastAsia="Muli" w:hAnsi="Muli" w:cs="Muli"/>
        </w:rPr>
        <w:t xml:space="preserve"> is an Australian technology company focused on intelligent, open and non-proprietary, consumer-friendly solutions for an electricity-powered 21st century. </w:t>
      </w:r>
    </w:p>
    <w:p w14:paraId="30917B97" w14:textId="77777777" w:rsidR="005E740A" w:rsidRDefault="005E740A">
      <w:pPr>
        <w:shd w:val="clear" w:color="auto" w:fill="FFFFFF"/>
        <w:rPr>
          <w:rFonts w:ascii="Muli" w:eastAsia="Muli" w:hAnsi="Muli" w:cs="Muli"/>
        </w:rPr>
      </w:pPr>
    </w:p>
    <w:p w14:paraId="583F2AAB" w14:textId="77777777" w:rsidR="005E740A" w:rsidRDefault="0038242F">
      <w:pPr>
        <w:shd w:val="clear" w:color="auto" w:fill="FFFFFF"/>
        <w:rPr>
          <w:rFonts w:ascii="Muli" w:eastAsia="Muli" w:hAnsi="Muli" w:cs="Muli"/>
        </w:rPr>
      </w:pPr>
      <w:r>
        <w:rPr>
          <w:rFonts w:ascii="Muli" w:eastAsia="Muli" w:hAnsi="Muli" w:cs="Muli"/>
        </w:rPr>
        <w:t>Our solutions suite sp</w:t>
      </w:r>
      <w:bookmarkStart w:id="0" w:name="_GoBack"/>
      <w:bookmarkEnd w:id="0"/>
      <w:r>
        <w:rPr>
          <w:rFonts w:ascii="Muli" w:eastAsia="Muli" w:hAnsi="Muli" w:cs="Muli"/>
        </w:rPr>
        <w:t>ans devices, datasets, analytics, software and Internet of Thing</w:t>
      </w:r>
      <w:r>
        <w:rPr>
          <w:rFonts w:ascii="Muli" w:eastAsia="Muli" w:hAnsi="Muli" w:cs="Muli"/>
        </w:rPr>
        <w:t>s (</w:t>
      </w:r>
      <w:proofErr w:type="spellStart"/>
      <w:r>
        <w:rPr>
          <w:rFonts w:ascii="Muli" w:eastAsia="Muli" w:hAnsi="Muli" w:cs="Muli"/>
        </w:rPr>
        <w:t>IoT</w:t>
      </w:r>
      <w:proofErr w:type="spellEnd"/>
      <w:r>
        <w:rPr>
          <w:rFonts w:ascii="Muli" w:eastAsia="Muli" w:hAnsi="Muli" w:cs="Muli"/>
        </w:rPr>
        <w:t xml:space="preserve">) connectivity, for energy and non-energy applications across home, community, commercial and industrial, and utility use cases. </w:t>
      </w:r>
    </w:p>
    <w:p w14:paraId="0A54C1A9" w14:textId="77777777" w:rsidR="005E740A" w:rsidRDefault="005E740A">
      <w:pPr>
        <w:shd w:val="clear" w:color="auto" w:fill="FFFFFF"/>
        <w:rPr>
          <w:rFonts w:ascii="Muli" w:eastAsia="Muli" w:hAnsi="Muli" w:cs="Muli"/>
        </w:rPr>
      </w:pPr>
    </w:p>
    <w:p w14:paraId="70961435" w14:textId="77777777" w:rsidR="005E740A" w:rsidRDefault="0038242F">
      <w:pPr>
        <w:shd w:val="clear" w:color="auto" w:fill="FFFFFF"/>
        <w:rPr>
          <w:rFonts w:ascii="Muli" w:eastAsia="Muli" w:hAnsi="Muli" w:cs="Muli"/>
        </w:rPr>
      </w:pPr>
      <w:r>
        <w:rPr>
          <w:rFonts w:ascii="Muli" w:eastAsia="Muli" w:hAnsi="Muli" w:cs="Muli"/>
        </w:rPr>
        <w:t>Our horizontal Energy Data Hub model promotes technology collaborations, with dozens of third-party partner integration</w:t>
      </w:r>
      <w:r>
        <w:rPr>
          <w:rFonts w:ascii="Muli" w:eastAsia="Muli" w:hAnsi="Muli" w:cs="Muli"/>
        </w:rPr>
        <w:t xml:space="preserve">s with our RESTful API - in Australia, and internationally. </w:t>
      </w:r>
    </w:p>
    <w:p w14:paraId="48922EB6" w14:textId="77777777" w:rsidR="005E740A" w:rsidRDefault="005E740A">
      <w:pPr>
        <w:shd w:val="clear" w:color="auto" w:fill="FFFFFF"/>
        <w:rPr>
          <w:rFonts w:ascii="Muli" w:eastAsia="Muli" w:hAnsi="Muli" w:cs="Muli"/>
        </w:rPr>
      </w:pPr>
    </w:p>
    <w:p w14:paraId="2B16E6E4" w14:textId="77777777" w:rsidR="005E740A" w:rsidRDefault="0038242F">
      <w:pPr>
        <w:shd w:val="clear" w:color="auto" w:fill="FFFFFF"/>
        <w:rPr>
          <w:rFonts w:ascii="Muli" w:eastAsia="Muli" w:hAnsi="Muli" w:cs="Muli"/>
        </w:rPr>
      </w:pPr>
      <w:r>
        <w:rPr>
          <w:rFonts w:ascii="Muli" w:eastAsia="Muli" w:hAnsi="Muli" w:cs="Muli"/>
        </w:rPr>
        <w:t xml:space="preserve">Product brands include </w:t>
      </w:r>
      <w:proofErr w:type="spellStart"/>
      <w:r>
        <w:rPr>
          <w:rFonts w:ascii="Muli" w:eastAsia="Muli" w:hAnsi="Muli" w:cs="Muli"/>
        </w:rPr>
        <w:t>Wattwatchers</w:t>
      </w:r>
      <w:proofErr w:type="spellEnd"/>
      <w:r>
        <w:rPr>
          <w:rFonts w:ascii="Muli" w:eastAsia="Muli" w:hAnsi="Muli" w:cs="Muli"/>
        </w:rPr>
        <w:t xml:space="preserve"> (hardware and data to the cloud), </w:t>
      </w:r>
      <w:proofErr w:type="spellStart"/>
      <w:r>
        <w:rPr>
          <w:rFonts w:ascii="Muli" w:eastAsia="Muli" w:hAnsi="Muli" w:cs="Muli"/>
        </w:rPr>
        <w:t>mydata.energy</w:t>
      </w:r>
      <w:proofErr w:type="spellEnd"/>
      <w:r>
        <w:rPr>
          <w:rFonts w:ascii="Muli" w:eastAsia="Muli" w:hAnsi="Muli" w:cs="Muli"/>
        </w:rPr>
        <w:t xml:space="preserve"> (native app - in development) and ADEPT (agile </w:t>
      </w:r>
      <w:proofErr w:type="spellStart"/>
      <w:r>
        <w:rPr>
          <w:rFonts w:ascii="Muli" w:eastAsia="Muli" w:hAnsi="Muli" w:cs="Muli"/>
        </w:rPr>
        <w:t>IoT</w:t>
      </w:r>
      <w:proofErr w:type="spellEnd"/>
      <w:r>
        <w:rPr>
          <w:rFonts w:ascii="Muli" w:eastAsia="Muli" w:hAnsi="Muli" w:cs="Muli"/>
        </w:rPr>
        <w:t xml:space="preserve"> platform for managing multi-technology fleets in real-time,</w:t>
      </w:r>
      <w:r>
        <w:rPr>
          <w:rFonts w:ascii="Muli" w:eastAsia="Muli" w:hAnsi="Muli" w:cs="Muli"/>
        </w:rPr>
        <w:t xml:space="preserve"> including a core focus on DER). </w:t>
      </w:r>
    </w:p>
    <w:p w14:paraId="28A48C73" w14:textId="77777777" w:rsidR="005E740A" w:rsidRDefault="005E740A">
      <w:pPr>
        <w:shd w:val="clear" w:color="auto" w:fill="FFFFFF"/>
        <w:rPr>
          <w:rFonts w:ascii="Muli" w:eastAsia="Muli" w:hAnsi="Muli" w:cs="Muli"/>
        </w:rPr>
      </w:pPr>
    </w:p>
    <w:p w14:paraId="4BACE687" w14:textId="77777777" w:rsidR="005E740A" w:rsidRDefault="0038242F">
      <w:pPr>
        <w:shd w:val="clear" w:color="auto" w:fill="FFFFFF"/>
        <w:rPr>
          <w:rFonts w:ascii="Muli" w:eastAsia="Muli" w:hAnsi="Muli" w:cs="Muli"/>
        </w:rPr>
      </w:pPr>
      <w:r>
        <w:rPr>
          <w:rFonts w:ascii="Muli" w:eastAsia="Muli" w:hAnsi="Muli" w:cs="Muli"/>
        </w:rPr>
        <w:t xml:space="preserve">Multi-year projects include My Energy Marketplace (MEM), backed by $2.7 million in grant funding from the Australian Renewable Energy Agency (ARENA); and </w:t>
      </w:r>
      <w:proofErr w:type="spellStart"/>
      <w:r>
        <w:rPr>
          <w:rFonts w:ascii="Muli" w:eastAsia="Muli" w:hAnsi="Muli" w:cs="Muli"/>
        </w:rPr>
        <w:t>MyTown</w:t>
      </w:r>
      <w:proofErr w:type="spellEnd"/>
      <w:r>
        <w:rPr>
          <w:rFonts w:ascii="Muli" w:eastAsia="Muli" w:hAnsi="Muli" w:cs="Muli"/>
        </w:rPr>
        <w:t xml:space="preserve"> </w:t>
      </w:r>
      <w:proofErr w:type="spellStart"/>
      <w:r>
        <w:rPr>
          <w:rFonts w:ascii="Muli" w:eastAsia="Muli" w:hAnsi="Muli" w:cs="Muli"/>
        </w:rPr>
        <w:t>Microgrid</w:t>
      </w:r>
      <w:proofErr w:type="spellEnd"/>
      <w:r>
        <w:rPr>
          <w:rFonts w:ascii="Muli" w:eastAsia="Muli" w:hAnsi="Muli" w:cs="Muli"/>
        </w:rPr>
        <w:t>, supported by a $1.8 million grant from the Austra</w:t>
      </w:r>
      <w:r>
        <w:rPr>
          <w:rFonts w:ascii="Muli" w:eastAsia="Muli" w:hAnsi="Muli" w:cs="Muli"/>
        </w:rPr>
        <w:t xml:space="preserve">lian Government through the Regional and Remote Communities Reliability Fund - </w:t>
      </w:r>
      <w:proofErr w:type="spellStart"/>
      <w:r>
        <w:rPr>
          <w:rFonts w:ascii="Muli" w:eastAsia="Muli" w:hAnsi="Muli" w:cs="Muli"/>
        </w:rPr>
        <w:t>Microgrids</w:t>
      </w:r>
      <w:proofErr w:type="spellEnd"/>
      <w:r>
        <w:rPr>
          <w:rFonts w:ascii="Muli" w:eastAsia="Muli" w:hAnsi="Muli" w:cs="Muli"/>
        </w:rPr>
        <w:t xml:space="preserve"> Program.</w:t>
      </w:r>
    </w:p>
    <w:p w14:paraId="43149F36" w14:textId="77777777" w:rsidR="005E740A" w:rsidRDefault="005E740A">
      <w:pPr>
        <w:shd w:val="clear" w:color="auto" w:fill="FFFFFF"/>
        <w:rPr>
          <w:rFonts w:ascii="Muli" w:eastAsia="Muli" w:hAnsi="Muli" w:cs="Muli"/>
        </w:rPr>
      </w:pPr>
    </w:p>
    <w:p w14:paraId="092CB01D" w14:textId="77777777" w:rsidR="005E740A" w:rsidRDefault="0038242F">
      <w:pPr>
        <w:shd w:val="clear" w:color="auto" w:fill="FFFFFF"/>
        <w:rPr>
          <w:rFonts w:ascii="Muli" w:eastAsia="Muli" w:hAnsi="Muli" w:cs="Muli"/>
        </w:rPr>
      </w:pPr>
      <w:proofErr w:type="spellStart"/>
      <w:r>
        <w:rPr>
          <w:rFonts w:ascii="Muli" w:eastAsia="Muli" w:hAnsi="Muli" w:cs="Muli"/>
        </w:rPr>
        <w:t>Wattwatchers</w:t>
      </w:r>
      <w:proofErr w:type="spellEnd"/>
      <w:r>
        <w:rPr>
          <w:rFonts w:ascii="Muli" w:eastAsia="Muli" w:hAnsi="Muli" w:cs="Muli"/>
        </w:rPr>
        <w:t xml:space="preserve"> is an active participant in relevant OEM/tech vendor collaborations including the industry grouping which recently produced and launched the vo</w:t>
      </w:r>
      <w:r>
        <w:rPr>
          <w:rFonts w:ascii="Muli" w:eastAsia="Muli" w:hAnsi="Muli" w:cs="Muli"/>
        </w:rPr>
        <w:t xml:space="preserve">luntary DER </w:t>
      </w:r>
      <w:proofErr w:type="spellStart"/>
      <w:r>
        <w:rPr>
          <w:rFonts w:ascii="Muli" w:eastAsia="Muli" w:hAnsi="Muli" w:cs="Muli"/>
        </w:rPr>
        <w:t>Visualisation</w:t>
      </w:r>
      <w:proofErr w:type="spellEnd"/>
      <w:r>
        <w:rPr>
          <w:rFonts w:ascii="Muli" w:eastAsia="Muli" w:hAnsi="Muli" w:cs="Muli"/>
        </w:rPr>
        <w:t xml:space="preserve"> and Monitoring Best Practice Guide - see </w:t>
      </w:r>
      <w:hyperlink r:id="rId7">
        <w:r>
          <w:rPr>
            <w:rFonts w:ascii="Muli" w:eastAsia="Muli" w:hAnsi="Muli" w:cs="Muli"/>
            <w:color w:val="1155CC"/>
            <w:u w:val="single"/>
          </w:rPr>
          <w:t>https://dermonitoring.guide</w:t>
        </w:r>
      </w:hyperlink>
      <w:r>
        <w:rPr>
          <w:rFonts w:ascii="Muli" w:eastAsia="Muli" w:hAnsi="Muli" w:cs="Muli"/>
        </w:rPr>
        <w:t xml:space="preserve">; and also the AEMO DER API Technical Working Group. </w:t>
      </w:r>
    </w:p>
    <w:p w14:paraId="126D05AE" w14:textId="77777777" w:rsidR="005E740A" w:rsidRDefault="005E740A">
      <w:pPr>
        <w:shd w:val="clear" w:color="auto" w:fill="FFFFFF"/>
        <w:rPr>
          <w:rFonts w:ascii="Muli" w:eastAsia="Muli" w:hAnsi="Muli" w:cs="Muli"/>
        </w:rPr>
      </w:pPr>
    </w:p>
    <w:p w14:paraId="7B7FA013" w14:textId="77777777" w:rsidR="005E740A" w:rsidRDefault="0038242F">
      <w:pPr>
        <w:shd w:val="clear" w:color="auto" w:fill="FFFFFF"/>
        <w:rPr>
          <w:rFonts w:ascii="Muli" w:eastAsia="Muli" w:hAnsi="Muli" w:cs="Muli"/>
          <w:color w:val="222222"/>
        </w:rPr>
      </w:pPr>
      <w:r>
        <w:rPr>
          <w:rFonts w:ascii="Muli" w:eastAsia="Muli" w:hAnsi="Muli" w:cs="Muli"/>
        </w:rPr>
        <w:t>In making a submission to this and similar or related consul</w:t>
      </w:r>
      <w:r>
        <w:rPr>
          <w:rFonts w:ascii="Muli" w:eastAsia="Muli" w:hAnsi="Muli" w:cs="Muli"/>
        </w:rPr>
        <w:t>tation processes - as a small and resource-constrained scale-up business, but also as an emerging solutions provider with well over a decade of experience in the Australian energy marketplace - we urge that particular attention needs to be applied to:</w:t>
      </w:r>
    </w:p>
    <w:p w14:paraId="6A2CFE1F" w14:textId="77777777" w:rsidR="005E740A" w:rsidRDefault="0038242F">
      <w:pPr>
        <w:numPr>
          <w:ilvl w:val="0"/>
          <w:numId w:val="4"/>
        </w:numPr>
        <w:spacing w:before="200"/>
        <w:ind w:left="940"/>
        <w:rPr>
          <w:rFonts w:ascii="Muli" w:eastAsia="Muli" w:hAnsi="Muli" w:cs="Muli"/>
        </w:rPr>
      </w:pPr>
      <w:r>
        <w:rPr>
          <w:rFonts w:ascii="Muli" w:eastAsia="Muli" w:hAnsi="Muli" w:cs="Muli"/>
          <w:color w:val="222222"/>
        </w:rPr>
        <w:lastRenderedPageBreak/>
        <w:t>Enga</w:t>
      </w:r>
      <w:r>
        <w:rPr>
          <w:rFonts w:ascii="Muli" w:eastAsia="Muli" w:hAnsi="Muli" w:cs="Muli"/>
          <w:color w:val="222222"/>
        </w:rPr>
        <w:t>gement and deliberate inclusion of the energy tech community to directly counter the power and influence imbalance between long-established industry incumbents and emerging innovators</w:t>
      </w:r>
    </w:p>
    <w:p w14:paraId="5B1DE9F7" w14:textId="77777777" w:rsidR="005E740A" w:rsidRDefault="0038242F">
      <w:pPr>
        <w:numPr>
          <w:ilvl w:val="0"/>
          <w:numId w:val="4"/>
        </w:numPr>
        <w:ind w:left="940"/>
        <w:rPr>
          <w:rFonts w:ascii="Muli" w:eastAsia="Muli" w:hAnsi="Muli" w:cs="Muli"/>
        </w:rPr>
      </w:pPr>
      <w:r>
        <w:rPr>
          <w:rFonts w:ascii="Muli" w:eastAsia="Muli" w:hAnsi="Muli" w:cs="Muli"/>
          <w:color w:val="222222"/>
        </w:rPr>
        <w:t>Protection of the ‘opportunity space’ for ongoing innovation and positiv</w:t>
      </w:r>
      <w:r>
        <w:rPr>
          <w:rFonts w:ascii="Muli" w:eastAsia="Muli" w:hAnsi="Muli" w:cs="Muli"/>
          <w:color w:val="222222"/>
        </w:rPr>
        <w:t>e disruption</w:t>
      </w:r>
    </w:p>
    <w:p w14:paraId="25A5887E" w14:textId="77777777" w:rsidR="005E740A" w:rsidRDefault="0038242F">
      <w:pPr>
        <w:numPr>
          <w:ilvl w:val="0"/>
          <w:numId w:val="4"/>
        </w:numPr>
        <w:spacing w:after="200"/>
        <w:ind w:left="940"/>
        <w:rPr>
          <w:rFonts w:ascii="Muli" w:eastAsia="Muli" w:hAnsi="Muli" w:cs="Muli"/>
        </w:rPr>
      </w:pPr>
      <w:proofErr w:type="spellStart"/>
      <w:r>
        <w:rPr>
          <w:rFonts w:ascii="Muli" w:eastAsia="Muli" w:hAnsi="Muli" w:cs="Muli"/>
          <w:color w:val="222222"/>
        </w:rPr>
        <w:t>Maximising</w:t>
      </w:r>
      <w:proofErr w:type="spellEnd"/>
      <w:r>
        <w:rPr>
          <w:rFonts w:ascii="Muli" w:eastAsia="Muli" w:hAnsi="Muli" w:cs="Muli"/>
          <w:color w:val="222222"/>
        </w:rPr>
        <w:t xml:space="preserve"> understanding and inclusion of consumer perspectives and rights </w:t>
      </w:r>
    </w:p>
    <w:p w14:paraId="5A72027E" w14:textId="77777777" w:rsidR="005E740A" w:rsidRDefault="005E740A">
      <w:pPr>
        <w:spacing w:before="120"/>
        <w:jc w:val="both"/>
        <w:rPr>
          <w:rFonts w:ascii="Muli" w:eastAsia="Muli" w:hAnsi="Muli" w:cs="Muli"/>
          <w:color w:val="222222"/>
        </w:rPr>
      </w:pPr>
    </w:p>
    <w:p w14:paraId="62D688DE" w14:textId="77777777" w:rsidR="005E740A" w:rsidRDefault="0038242F">
      <w:pPr>
        <w:spacing w:before="120"/>
        <w:jc w:val="both"/>
        <w:rPr>
          <w:rFonts w:ascii="Muli" w:eastAsia="Muli" w:hAnsi="Muli" w:cs="Muli"/>
          <w:b/>
          <w:color w:val="222222"/>
        </w:rPr>
      </w:pPr>
      <w:r>
        <w:rPr>
          <w:rFonts w:ascii="Muli" w:eastAsia="Muli" w:hAnsi="Muli" w:cs="Muli"/>
          <w:b/>
          <w:color w:val="222222"/>
        </w:rPr>
        <w:t>RESPONSES TO SPECIFIC STAKEHOLDER QUESTIONS</w:t>
      </w:r>
    </w:p>
    <w:p w14:paraId="5B4D9878" w14:textId="77777777" w:rsidR="005E740A" w:rsidRDefault="005E740A">
      <w:pPr>
        <w:spacing w:before="120"/>
        <w:jc w:val="both"/>
        <w:rPr>
          <w:rFonts w:ascii="Muli" w:eastAsia="Muli" w:hAnsi="Muli" w:cs="Muli"/>
          <w:b/>
        </w:rPr>
      </w:pPr>
    </w:p>
    <w:p w14:paraId="4ADF1C0B" w14:textId="77777777" w:rsidR="005E740A" w:rsidRDefault="0038242F">
      <w:pPr>
        <w:spacing w:before="120"/>
        <w:jc w:val="both"/>
        <w:rPr>
          <w:rFonts w:ascii="Muli" w:eastAsia="Muli" w:hAnsi="Muli" w:cs="Muli"/>
        </w:rPr>
      </w:pPr>
      <w:r>
        <w:rPr>
          <w:rFonts w:ascii="Muli" w:eastAsia="Muli" w:hAnsi="Muli" w:cs="Muli"/>
        </w:rPr>
        <w:t xml:space="preserve">A </w:t>
      </w:r>
      <w:proofErr w:type="spellStart"/>
      <w:r>
        <w:rPr>
          <w:rFonts w:ascii="Muli" w:eastAsia="Muli" w:hAnsi="Muli" w:cs="Muli"/>
        </w:rPr>
        <w:t>Wattwatchers</w:t>
      </w:r>
      <w:proofErr w:type="spellEnd"/>
      <w:r>
        <w:rPr>
          <w:rFonts w:ascii="Muli" w:eastAsia="Muli" w:hAnsi="Muli" w:cs="Muli"/>
        </w:rPr>
        <w:t xml:space="preserve">  representative participated in an ESB webinar briefing on the Committee proposal on July 21, and also in a new technology vendors group briefing session, with ESB representatives, on July 22.</w:t>
      </w:r>
    </w:p>
    <w:p w14:paraId="6C43B3C6" w14:textId="77777777" w:rsidR="005E740A" w:rsidRDefault="005E740A">
      <w:pPr>
        <w:spacing w:before="120"/>
        <w:jc w:val="both"/>
        <w:rPr>
          <w:rFonts w:ascii="Muli" w:eastAsia="Muli" w:hAnsi="Muli" w:cs="Muli"/>
        </w:rPr>
      </w:pPr>
    </w:p>
    <w:p w14:paraId="7C54B4B4" w14:textId="77777777" w:rsidR="005E740A" w:rsidRDefault="0038242F">
      <w:pPr>
        <w:spacing w:before="120"/>
        <w:jc w:val="both"/>
        <w:rPr>
          <w:rFonts w:ascii="Muli" w:eastAsia="Muli" w:hAnsi="Muli" w:cs="Muli"/>
          <w:b/>
        </w:rPr>
      </w:pPr>
      <w:r>
        <w:rPr>
          <w:rFonts w:ascii="Muli" w:eastAsia="Muli" w:hAnsi="Muli" w:cs="Muli"/>
          <w:b/>
        </w:rPr>
        <w:t xml:space="preserve">Q1. Do you support the proposal to establish a </w:t>
      </w:r>
      <w:r>
        <w:rPr>
          <w:rFonts w:ascii="Muli" w:eastAsia="Muli" w:hAnsi="Muli" w:cs="Muli"/>
          <w:b/>
        </w:rPr>
        <w:t xml:space="preserve">DER Standards Governance Committee under the National Electricity Rules? If not, what alternative would you suggest? </w:t>
      </w:r>
    </w:p>
    <w:p w14:paraId="58A54E4E" w14:textId="77777777" w:rsidR="005E740A" w:rsidRDefault="0038242F">
      <w:pPr>
        <w:spacing w:before="120"/>
        <w:jc w:val="both"/>
        <w:rPr>
          <w:rFonts w:ascii="Muli" w:eastAsia="Muli" w:hAnsi="Muli" w:cs="Muli"/>
        </w:rPr>
      </w:pPr>
      <w:r>
        <w:rPr>
          <w:rFonts w:ascii="Muli" w:eastAsia="Muli" w:hAnsi="Muli" w:cs="Muli"/>
        </w:rPr>
        <w:t xml:space="preserve">Yes, </w:t>
      </w:r>
      <w:proofErr w:type="spellStart"/>
      <w:r>
        <w:rPr>
          <w:rFonts w:ascii="Muli" w:eastAsia="Muli" w:hAnsi="Muli" w:cs="Muli"/>
        </w:rPr>
        <w:t>Wattwatchers</w:t>
      </w:r>
      <w:proofErr w:type="spellEnd"/>
      <w:r>
        <w:rPr>
          <w:rFonts w:ascii="Muli" w:eastAsia="Muli" w:hAnsi="Muli" w:cs="Muli"/>
        </w:rPr>
        <w:t xml:space="preserve"> broadly supports the proposal, and is substantially aligned with the intent and proposed implementation path. We urge th</w:t>
      </w:r>
      <w:r>
        <w:rPr>
          <w:rFonts w:ascii="Muli" w:eastAsia="Muli" w:hAnsi="Muli" w:cs="Muli"/>
        </w:rPr>
        <w:t xml:space="preserve">e ESB to redouble its welcome early efforts to ensure that the proposed Governance Committee incorporates strong independent DER expertise, and that it specifically addresses innovation and consumer rights (including data rights), including in recognition </w:t>
      </w:r>
      <w:r>
        <w:rPr>
          <w:rFonts w:ascii="Muli" w:eastAsia="Muli" w:hAnsi="Muli" w:cs="Muli"/>
        </w:rPr>
        <w:t>of the context that there is:</w:t>
      </w:r>
    </w:p>
    <w:p w14:paraId="58B9FC59" w14:textId="77777777" w:rsidR="005E740A" w:rsidRDefault="0038242F">
      <w:pPr>
        <w:numPr>
          <w:ilvl w:val="0"/>
          <w:numId w:val="1"/>
        </w:numPr>
        <w:shd w:val="clear" w:color="auto" w:fill="FFFFFF"/>
        <w:spacing w:before="200"/>
        <w:ind w:left="940"/>
        <w:rPr>
          <w:rFonts w:ascii="Muli" w:eastAsia="Muli" w:hAnsi="Muli" w:cs="Muli"/>
        </w:rPr>
      </w:pPr>
      <w:r>
        <w:rPr>
          <w:rFonts w:ascii="Muli" w:eastAsia="Muli" w:hAnsi="Muli" w:cs="Muli"/>
          <w:color w:val="222222"/>
        </w:rPr>
        <w:t xml:space="preserve">A lack of engagement with the ‘new energy’ sector. Companies offering new energy technology solutions are often more thinly resourced and don’t necessarily have the capacity to spend large amounts of time engaging in multiple </w:t>
      </w:r>
      <w:r>
        <w:rPr>
          <w:rFonts w:ascii="Muli" w:eastAsia="Muli" w:hAnsi="Muli" w:cs="Muli"/>
          <w:color w:val="222222"/>
        </w:rPr>
        <w:t>committees across multiple agencies and responding to countless consultation processes.</w:t>
      </w:r>
    </w:p>
    <w:p w14:paraId="7212BF64" w14:textId="77777777" w:rsidR="005E740A" w:rsidRDefault="0038242F">
      <w:pPr>
        <w:numPr>
          <w:ilvl w:val="0"/>
          <w:numId w:val="1"/>
        </w:numPr>
        <w:shd w:val="clear" w:color="auto" w:fill="FFFFFF"/>
        <w:spacing w:after="200"/>
        <w:ind w:left="940"/>
        <w:rPr>
          <w:rFonts w:ascii="Muli" w:eastAsia="Muli" w:hAnsi="Muli" w:cs="Muli"/>
        </w:rPr>
      </w:pPr>
      <w:r>
        <w:rPr>
          <w:rFonts w:ascii="Muli" w:eastAsia="Muli" w:hAnsi="Muli" w:cs="Muli"/>
          <w:color w:val="222222"/>
        </w:rPr>
        <w:t xml:space="preserve">A lack of transparency in the traditional energy sector, such as DNSPs having no regulatory obligation to provide updated connection standards to industry (or consumer </w:t>
      </w:r>
      <w:r>
        <w:rPr>
          <w:rFonts w:ascii="Muli" w:eastAsia="Muli" w:hAnsi="Muli" w:cs="Muli"/>
          <w:color w:val="222222"/>
        </w:rPr>
        <w:t xml:space="preserve">groups) for comment. Equally, there is no clear requirement for up-to-date connection standards to be maintained and publicly accessible. </w:t>
      </w:r>
    </w:p>
    <w:p w14:paraId="54455018" w14:textId="77777777" w:rsidR="005E740A" w:rsidRDefault="0038242F">
      <w:pPr>
        <w:shd w:val="clear" w:color="auto" w:fill="FFFFFF"/>
        <w:jc w:val="both"/>
        <w:rPr>
          <w:rFonts w:ascii="Muli" w:eastAsia="Muli" w:hAnsi="Muli" w:cs="Muli"/>
          <w:color w:val="222222"/>
        </w:rPr>
      </w:pPr>
      <w:r>
        <w:rPr>
          <w:rFonts w:ascii="Muli" w:eastAsia="Muli" w:hAnsi="Muli" w:cs="Muli"/>
          <w:color w:val="222222"/>
        </w:rPr>
        <w:t xml:space="preserve">It is vital that the Governance Committee’s membership is appropriately balanced and its existence is appropriate as longer-term developments become apparent from the Post 2025 Market design work, where that has relevance to DER technical standards. </w:t>
      </w:r>
    </w:p>
    <w:p w14:paraId="021E90CC" w14:textId="77777777" w:rsidR="005E740A" w:rsidRDefault="005E740A">
      <w:pPr>
        <w:shd w:val="clear" w:color="auto" w:fill="FFFFFF"/>
        <w:jc w:val="both"/>
        <w:rPr>
          <w:rFonts w:ascii="Muli" w:eastAsia="Muli" w:hAnsi="Muli" w:cs="Muli"/>
          <w:color w:val="222222"/>
        </w:rPr>
      </w:pPr>
    </w:p>
    <w:p w14:paraId="69A5A10C" w14:textId="77777777" w:rsidR="005E740A" w:rsidRDefault="0038242F">
      <w:pPr>
        <w:shd w:val="clear" w:color="auto" w:fill="FFFFFF"/>
        <w:jc w:val="both"/>
        <w:rPr>
          <w:rFonts w:ascii="Muli" w:eastAsia="Muli" w:hAnsi="Muli" w:cs="Muli"/>
          <w:color w:val="222222"/>
        </w:rPr>
      </w:pPr>
      <w:r>
        <w:rPr>
          <w:rFonts w:ascii="Muli" w:eastAsia="Muli" w:hAnsi="Muli" w:cs="Muli"/>
          <w:color w:val="222222"/>
        </w:rPr>
        <w:t>Whil</w:t>
      </w:r>
      <w:r>
        <w:rPr>
          <w:rFonts w:ascii="Muli" w:eastAsia="Muli" w:hAnsi="Muli" w:cs="Muli"/>
          <w:color w:val="222222"/>
        </w:rPr>
        <w:t xml:space="preserve">e we are attracted to arguments in </w:t>
      </w:r>
      <w:proofErr w:type="spellStart"/>
      <w:r>
        <w:rPr>
          <w:rFonts w:ascii="Muli" w:eastAsia="Muli" w:hAnsi="Muli" w:cs="Muli"/>
          <w:color w:val="222222"/>
        </w:rPr>
        <w:t>favour</w:t>
      </w:r>
      <w:proofErr w:type="spellEnd"/>
      <w:r>
        <w:rPr>
          <w:rFonts w:ascii="Muli" w:eastAsia="Muli" w:hAnsi="Muli" w:cs="Muli"/>
          <w:color w:val="222222"/>
        </w:rPr>
        <w:t xml:space="preserve"> of a major root-and-branch overhaul of the energy marketplace in Australia to make it fit for Grid 2.0, we nonetheless accept the pragmatic reasons behind establishing this Governance Committee under the National E</w:t>
      </w:r>
      <w:r>
        <w:rPr>
          <w:rFonts w:ascii="Muli" w:eastAsia="Muli" w:hAnsi="Muli" w:cs="Muli"/>
          <w:color w:val="222222"/>
        </w:rPr>
        <w:t xml:space="preserve">lectricity Rules (NER) as being the most straightforward approach currently available. </w:t>
      </w:r>
    </w:p>
    <w:p w14:paraId="12203962" w14:textId="77777777" w:rsidR="005E740A" w:rsidRDefault="005E740A">
      <w:pPr>
        <w:spacing w:before="120"/>
        <w:jc w:val="both"/>
        <w:rPr>
          <w:rFonts w:ascii="Muli" w:eastAsia="Muli" w:hAnsi="Muli" w:cs="Muli"/>
        </w:rPr>
      </w:pPr>
    </w:p>
    <w:p w14:paraId="79461DEB" w14:textId="77777777" w:rsidR="003070C2" w:rsidRDefault="003070C2">
      <w:pPr>
        <w:spacing w:before="120"/>
        <w:jc w:val="both"/>
        <w:rPr>
          <w:rFonts w:ascii="Muli" w:eastAsia="Muli" w:hAnsi="Muli" w:cs="Muli"/>
        </w:rPr>
      </w:pPr>
    </w:p>
    <w:p w14:paraId="11F6BEDA" w14:textId="77777777" w:rsidR="003070C2" w:rsidRDefault="003070C2">
      <w:pPr>
        <w:spacing w:before="120"/>
        <w:jc w:val="both"/>
        <w:rPr>
          <w:rFonts w:ascii="Muli" w:eastAsia="Muli" w:hAnsi="Muli" w:cs="Muli"/>
        </w:rPr>
      </w:pPr>
    </w:p>
    <w:p w14:paraId="42047C0D" w14:textId="77777777" w:rsidR="003070C2" w:rsidRDefault="003070C2">
      <w:pPr>
        <w:spacing w:before="120"/>
        <w:jc w:val="both"/>
        <w:rPr>
          <w:rFonts w:ascii="Muli" w:eastAsia="Muli" w:hAnsi="Muli" w:cs="Muli"/>
        </w:rPr>
      </w:pPr>
    </w:p>
    <w:p w14:paraId="4117C3CF" w14:textId="77777777" w:rsidR="005E740A" w:rsidRDefault="0038242F">
      <w:pPr>
        <w:spacing w:before="120"/>
        <w:jc w:val="both"/>
        <w:rPr>
          <w:rFonts w:ascii="Muli" w:eastAsia="Muli" w:hAnsi="Muli" w:cs="Muli"/>
          <w:b/>
        </w:rPr>
      </w:pPr>
      <w:r>
        <w:rPr>
          <w:rFonts w:ascii="Muli" w:eastAsia="Muli" w:hAnsi="Muli" w:cs="Muli"/>
          <w:b/>
        </w:rPr>
        <w:lastRenderedPageBreak/>
        <w:t>Q2. Do you support the DER Standards Governance Committee being advisory or be determining? Please provide reasons.</w:t>
      </w:r>
    </w:p>
    <w:p w14:paraId="47BFA1CF" w14:textId="77777777" w:rsidR="005E740A" w:rsidRDefault="0038242F">
      <w:pPr>
        <w:spacing w:before="120"/>
        <w:jc w:val="both"/>
        <w:rPr>
          <w:rFonts w:ascii="Muli" w:eastAsia="Muli" w:hAnsi="Muli" w:cs="Muli"/>
        </w:rPr>
      </w:pPr>
      <w:r>
        <w:rPr>
          <w:rFonts w:ascii="Muli" w:eastAsia="Muli" w:hAnsi="Muli" w:cs="Muli"/>
        </w:rPr>
        <w:t xml:space="preserve">While we </w:t>
      </w:r>
      <w:proofErr w:type="spellStart"/>
      <w:r>
        <w:rPr>
          <w:rFonts w:ascii="Muli" w:eastAsia="Muli" w:hAnsi="Muli" w:cs="Muli"/>
        </w:rPr>
        <w:t>recognise</w:t>
      </w:r>
      <w:proofErr w:type="spellEnd"/>
      <w:r>
        <w:rPr>
          <w:rFonts w:ascii="Muli" w:eastAsia="Muli" w:hAnsi="Muli" w:cs="Muli"/>
        </w:rPr>
        <w:t xml:space="preserve"> the substantial inadequacies of </w:t>
      </w:r>
      <w:r>
        <w:rPr>
          <w:rFonts w:ascii="Muli" w:eastAsia="Muli" w:hAnsi="Muli" w:cs="Muli"/>
        </w:rPr>
        <w:t xml:space="preserve">the status quo, </w:t>
      </w:r>
      <w:proofErr w:type="spellStart"/>
      <w:r>
        <w:rPr>
          <w:rFonts w:ascii="Muli" w:eastAsia="Muli" w:hAnsi="Muli" w:cs="Muli"/>
        </w:rPr>
        <w:t>Wattwatchers</w:t>
      </w:r>
      <w:proofErr w:type="spellEnd"/>
      <w:r>
        <w:rPr>
          <w:rFonts w:ascii="Muli" w:eastAsia="Muli" w:hAnsi="Muli" w:cs="Muli"/>
        </w:rPr>
        <w:t xml:space="preserve"> has initial reservations about the Governance Committee being given a full determining role from day one, before it is established and builds a track record that inspires confidence among key stakeholders. </w:t>
      </w:r>
    </w:p>
    <w:p w14:paraId="1DAF523A" w14:textId="77777777" w:rsidR="005E740A" w:rsidRDefault="0038242F">
      <w:pPr>
        <w:spacing w:before="120"/>
        <w:jc w:val="both"/>
        <w:rPr>
          <w:rFonts w:ascii="Muli" w:eastAsia="Muli" w:hAnsi="Muli" w:cs="Muli"/>
        </w:rPr>
      </w:pPr>
      <w:r>
        <w:rPr>
          <w:rFonts w:ascii="Muli" w:eastAsia="Muli" w:hAnsi="Muli" w:cs="Muli"/>
        </w:rPr>
        <w:t>We note, however, th</w:t>
      </w:r>
      <w:r>
        <w:rPr>
          <w:rFonts w:ascii="Muli" w:eastAsia="Muli" w:hAnsi="Muli" w:cs="Muli"/>
        </w:rPr>
        <w:t>e Consultation Paper’s recommendation that the role should be more than an advisory one, so would prefer consideration of a hybrid model as the starting point. The nature of the role ongoing, on the spectrum between advisory only and fully determining, sho</w:t>
      </w:r>
      <w:r>
        <w:rPr>
          <w:rFonts w:ascii="Muli" w:eastAsia="Muli" w:hAnsi="Muli" w:cs="Muli"/>
        </w:rPr>
        <w:t xml:space="preserve">uld be specifically tagged for an in-depth review after the initial three years of operation.  </w:t>
      </w:r>
    </w:p>
    <w:p w14:paraId="69F22E3E" w14:textId="77777777" w:rsidR="005E740A" w:rsidRDefault="0038242F">
      <w:pPr>
        <w:spacing w:before="120"/>
        <w:jc w:val="both"/>
        <w:rPr>
          <w:rFonts w:ascii="Muli" w:eastAsia="Muli" w:hAnsi="Muli" w:cs="Muli"/>
        </w:rPr>
      </w:pPr>
      <w:r>
        <w:rPr>
          <w:rFonts w:ascii="Muli" w:eastAsia="Muli" w:hAnsi="Muli" w:cs="Muli"/>
        </w:rPr>
        <w:t>We could become more comfortable with a determining role p</w:t>
      </w:r>
      <w:r>
        <w:rPr>
          <w:rFonts w:ascii="Muli" w:eastAsia="Muli" w:hAnsi="Muli" w:cs="Muli"/>
          <w:highlight w:val="white"/>
        </w:rPr>
        <w:t>rovided that there is an appropriate balance in the Committee, that its development of and final decis</w:t>
      </w:r>
      <w:r>
        <w:rPr>
          <w:rFonts w:ascii="Muli" w:eastAsia="Muli" w:hAnsi="Muli" w:cs="Muli"/>
          <w:highlight w:val="white"/>
        </w:rPr>
        <w:t>ions are transparent, and that there is a clear technical working group structure (with good representation and input from DER industry and consumer representatives). In this case, however, there should be a very clear pathway for decisions to be challenge</w:t>
      </w:r>
      <w:r>
        <w:rPr>
          <w:rFonts w:ascii="Muli" w:eastAsia="Muli" w:hAnsi="Muli" w:cs="Muli"/>
          <w:highlight w:val="white"/>
        </w:rPr>
        <w:t xml:space="preserve">d and for disputes to be resolved through pragmatic means, as far as practicable. </w:t>
      </w:r>
    </w:p>
    <w:p w14:paraId="0AE5030D" w14:textId="77777777" w:rsidR="005E740A" w:rsidRDefault="005E740A">
      <w:pPr>
        <w:spacing w:before="120"/>
        <w:jc w:val="both"/>
        <w:rPr>
          <w:rFonts w:ascii="Muli" w:eastAsia="Muli" w:hAnsi="Muli" w:cs="Muli"/>
        </w:rPr>
      </w:pPr>
    </w:p>
    <w:p w14:paraId="0EB2CD3D" w14:textId="77777777" w:rsidR="005E740A" w:rsidRDefault="0038242F">
      <w:pPr>
        <w:spacing w:before="120"/>
        <w:jc w:val="both"/>
        <w:rPr>
          <w:rFonts w:ascii="Muli" w:eastAsia="Muli" w:hAnsi="Muli" w:cs="Muli"/>
          <w:b/>
        </w:rPr>
      </w:pPr>
      <w:r>
        <w:rPr>
          <w:rFonts w:ascii="Muli" w:eastAsia="Muli" w:hAnsi="Muli" w:cs="Muli"/>
          <w:b/>
        </w:rPr>
        <w:t xml:space="preserve">Q3. Do you have any feedback on the proposed functions of the DER Standards Governance Committee? </w:t>
      </w:r>
    </w:p>
    <w:p w14:paraId="7C784385" w14:textId="77777777" w:rsidR="005E740A" w:rsidRDefault="0038242F">
      <w:pPr>
        <w:spacing w:before="120"/>
        <w:jc w:val="both"/>
        <w:rPr>
          <w:rFonts w:ascii="Muli" w:eastAsia="Muli" w:hAnsi="Muli" w:cs="Muli"/>
        </w:rPr>
      </w:pPr>
      <w:proofErr w:type="spellStart"/>
      <w:r>
        <w:rPr>
          <w:rFonts w:ascii="Muli" w:eastAsia="Muli" w:hAnsi="Muli" w:cs="Muli"/>
        </w:rPr>
        <w:t>Wattwatchers</w:t>
      </w:r>
      <w:proofErr w:type="spellEnd"/>
      <w:r>
        <w:rPr>
          <w:rFonts w:ascii="Muli" w:eastAsia="Muli" w:hAnsi="Muli" w:cs="Muli"/>
        </w:rPr>
        <w:t xml:space="preserve"> subscribes to the view that the quest for ‘standards’ in the</w:t>
      </w:r>
      <w:r>
        <w:rPr>
          <w:rFonts w:ascii="Muli" w:eastAsia="Muli" w:hAnsi="Muli" w:cs="Muli"/>
        </w:rPr>
        <w:t xml:space="preserve"> DER sector features a lot of grey areas. Communications protocols reflect this inherent uncertainty.</w:t>
      </w:r>
    </w:p>
    <w:p w14:paraId="2CC34585" w14:textId="77777777" w:rsidR="005E740A" w:rsidRDefault="0038242F">
      <w:pPr>
        <w:spacing w:before="120"/>
        <w:jc w:val="both"/>
        <w:rPr>
          <w:rFonts w:ascii="Muli" w:eastAsia="Muli" w:hAnsi="Muli" w:cs="Muli"/>
        </w:rPr>
      </w:pPr>
      <w:r>
        <w:rPr>
          <w:rFonts w:ascii="Muli" w:eastAsia="Muli" w:hAnsi="Muli" w:cs="Muli"/>
        </w:rPr>
        <w:t>It is important to highlight the need for:</w:t>
      </w:r>
    </w:p>
    <w:p w14:paraId="5A4ED110" w14:textId="77777777" w:rsidR="005E740A" w:rsidRDefault="0038242F">
      <w:pPr>
        <w:numPr>
          <w:ilvl w:val="0"/>
          <w:numId w:val="2"/>
        </w:numPr>
        <w:spacing w:before="120"/>
        <w:jc w:val="both"/>
        <w:rPr>
          <w:rFonts w:ascii="Muli" w:eastAsia="Muli" w:hAnsi="Muli" w:cs="Muli"/>
          <w:highlight w:val="white"/>
        </w:rPr>
      </w:pPr>
      <w:r>
        <w:rPr>
          <w:rFonts w:ascii="Muli" w:eastAsia="Muli" w:hAnsi="Muli" w:cs="Muli"/>
          <w:highlight w:val="white"/>
        </w:rPr>
        <w:t>Providing DER vendors with the ability to effectively respond</w:t>
      </w:r>
    </w:p>
    <w:p w14:paraId="1CB7332C" w14:textId="77777777" w:rsidR="005E740A" w:rsidRDefault="0038242F">
      <w:pPr>
        <w:numPr>
          <w:ilvl w:val="0"/>
          <w:numId w:val="2"/>
        </w:numPr>
        <w:jc w:val="both"/>
        <w:rPr>
          <w:rFonts w:ascii="Muli" w:eastAsia="Muli" w:hAnsi="Muli" w:cs="Muli"/>
          <w:highlight w:val="white"/>
        </w:rPr>
      </w:pPr>
      <w:r>
        <w:rPr>
          <w:rFonts w:ascii="Muli" w:eastAsia="Muli" w:hAnsi="Muli" w:cs="Muli"/>
          <w:highlight w:val="white"/>
        </w:rPr>
        <w:t xml:space="preserve">Ensuring that consumers can </w:t>
      </w:r>
      <w:proofErr w:type="spellStart"/>
      <w:r>
        <w:rPr>
          <w:rFonts w:ascii="Muli" w:eastAsia="Muli" w:hAnsi="Muli" w:cs="Muli"/>
          <w:highlight w:val="white"/>
        </w:rPr>
        <w:t>maximise</w:t>
      </w:r>
      <w:proofErr w:type="spellEnd"/>
      <w:r>
        <w:rPr>
          <w:rFonts w:ascii="Muli" w:eastAsia="Muli" w:hAnsi="Muli" w:cs="Muli"/>
          <w:highlight w:val="white"/>
        </w:rPr>
        <w:t xml:space="preserve"> benefits from their technology investment choices</w:t>
      </w:r>
    </w:p>
    <w:p w14:paraId="3B32E917" w14:textId="77777777" w:rsidR="005E740A" w:rsidRDefault="0038242F">
      <w:pPr>
        <w:numPr>
          <w:ilvl w:val="0"/>
          <w:numId w:val="2"/>
        </w:numPr>
        <w:jc w:val="both"/>
        <w:rPr>
          <w:rFonts w:ascii="Muli" w:eastAsia="Muli" w:hAnsi="Muli" w:cs="Muli"/>
          <w:highlight w:val="white"/>
        </w:rPr>
      </w:pPr>
      <w:r>
        <w:rPr>
          <w:rFonts w:ascii="Muli" w:eastAsia="Muli" w:hAnsi="Muli" w:cs="Muli"/>
          <w:highlight w:val="white"/>
        </w:rPr>
        <w:t>Maintaining a coordinated approach to industry transition that takes into account what is happening in the market and other regulatory activities (</w:t>
      </w:r>
      <w:proofErr w:type="spellStart"/>
      <w:r>
        <w:rPr>
          <w:rFonts w:ascii="Muli" w:eastAsia="Muli" w:hAnsi="Muli" w:cs="Muli"/>
          <w:highlight w:val="white"/>
        </w:rPr>
        <w:t>eg</w:t>
      </w:r>
      <w:proofErr w:type="spellEnd"/>
      <w:r>
        <w:rPr>
          <w:rFonts w:ascii="Muli" w:eastAsia="Muli" w:hAnsi="Muli" w:cs="Muli"/>
          <w:highlight w:val="white"/>
        </w:rPr>
        <w:t>. Post 2025 Market d</w:t>
      </w:r>
      <w:r>
        <w:rPr>
          <w:rFonts w:ascii="Muli" w:eastAsia="Muli" w:hAnsi="Muli" w:cs="Muli"/>
          <w:highlight w:val="white"/>
        </w:rPr>
        <w:t xml:space="preserve">esign related, DER pricing and access, DNSP connection requirements, API developments, site shut-down 'emergency backstop' proposal etc.). </w:t>
      </w:r>
    </w:p>
    <w:p w14:paraId="2B24E37C" w14:textId="77777777" w:rsidR="005E740A" w:rsidRDefault="005E740A">
      <w:pPr>
        <w:jc w:val="both"/>
        <w:rPr>
          <w:rFonts w:ascii="Muli" w:eastAsia="Muli" w:hAnsi="Muli" w:cs="Muli"/>
          <w:highlight w:val="white"/>
        </w:rPr>
      </w:pPr>
    </w:p>
    <w:p w14:paraId="4137D481" w14:textId="77777777" w:rsidR="005E740A" w:rsidRDefault="0038242F">
      <w:pPr>
        <w:jc w:val="both"/>
        <w:rPr>
          <w:rFonts w:ascii="Muli" w:eastAsia="Muli" w:hAnsi="Muli" w:cs="Muli"/>
          <w:highlight w:val="white"/>
        </w:rPr>
      </w:pPr>
      <w:r>
        <w:rPr>
          <w:rFonts w:ascii="Muli" w:eastAsia="Muli" w:hAnsi="Muli" w:cs="Muli"/>
          <w:highlight w:val="white"/>
        </w:rPr>
        <w:t>In common with a number of other new technology vendors in the energy space, w</w:t>
      </w:r>
      <w:r>
        <w:rPr>
          <w:rFonts w:ascii="Muli" w:eastAsia="Muli" w:hAnsi="Muli" w:cs="Muli"/>
          <w:color w:val="222222"/>
          <w:highlight w:val="white"/>
        </w:rPr>
        <w:t>e urge the ESB to ensure that the num</w:t>
      </w:r>
      <w:r>
        <w:rPr>
          <w:rFonts w:ascii="Muli" w:eastAsia="Muli" w:hAnsi="Muli" w:cs="Muli"/>
          <w:color w:val="222222"/>
          <w:highlight w:val="white"/>
        </w:rPr>
        <w:t>erous working groups and activity underway today - being led by industry, including the various API working groups and the DER Best Practice Guide - are not overshadowed by AEMO's process, a new AEMC rule change or ignored by a newly established body. It i</w:t>
      </w:r>
      <w:r>
        <w:rPr>
          <w:rFonts w:ascii="Muli" w:eastAsia="Muli" w:hAnsi="Muli" w:cs="Muli"/>
          <w:color w:val="222222"/>
          <w:highlight w:val="white"/>
        </w:rPr>
        <w:t xml:space="preserve">s submitted that the DER Standards Governance Committee should seek to engage with and have - at the very least - strong interaction with these various working groups </w:t>
      </w:r>
      <w:r>
        <w:rPr>
          <w:rFonts w:ascii="Muli" w:eastAsia="Muli" w:hAnsi="Muli" w:cs="Muli"/>
          <w:i/>
          <w:color w:val="222222"/>
          <w:highlight w:val="white"/>
        </w:rPr>
        <w:t xml:space="preserve">as well as </w:t>
      </w:r>
      <w:r>
        <w:rPr>
          <w:rFonts w:ascii="Muli" w:eastAsia="Muli" w:hAnsi="Muli" w:cs="Muli"/>
          <w:color w:val="222222"/>
          <w:highlight w:val="white"/>
        </w:rPr>
        <w:t>ensuring strong engagement with and representation from the DER industry. With</w:t>
      </w:r>
      <w:r>
        <w:rPr>
          <w:rFonts w:ascii="Muli" w:eastAsia="Muli" w:hAnsi="Muli" w:cs="Muli"/>
          <w:color w:val="222222"/>
          <w:highlight w:val="white"/>
        </w:rPr>
        <w:t xml:space="preserve"> regard to AEMO, it is vital that the Committee plays a role in ensuring that technical standards developed have customer/vendor interests appropriately considered, to ensure the best outcomes for consumers and DER owners.</w:t>
      </w:r>
    </w:p>
    <w:p w14:paraId="15E02525" w14:textId="77777777" w:rsidR="005E740A" w:rsidRDefault="005E740A">
      <w:pPr>
        <w:spacing w:before="120"/>
        <w:jc w:val="both"/>
        <w:rPr>
          <w:rFonts w:ascii="Muli" w:eastAsia="Muli" w:hAnsi="Muli" w:cs="Muli"/>
          <w:color w:val="222222"/>
          <w:highlight w:val="white"/>
        </w:rPr>
      </w:pPr>
    </w:p>
    <w:p w14:paraId="52FDAC78" w14:textId="77777777" w:rsidR="003070C2" w:rsidRDefault="003070C2">
      <w:pPr>
        <w:spacing w:before="120"/>
        <w:jc w:val="both"/>
        <w:rPr>
          <w:rFonts w:ascii="Muli" w:eastAsia="Muli" w:hAnsi="Muli" w:cs="Muli"/>
          <w:color w:val="222222"/>
          <w:highlight w:val="white"/>
        </w:rPr>
      </w:pPr>
    </w:p>
    <w:p w14:paraId="68CE61FD" w14:textId="77777777" w:rsidR="003070C2" w:rsidRDefault="003070C2">
      <w:pPr>
        <w:spacing w:before="120"/>
        <w:jc w:val="both"/>
        <w:rPr>
          <w:rFonts w:ascii="Muli" w:eastAsia="Muli" w:hAnsi="Muli" w:cs="Muli"/>
          <w:color w:val="222222"/>
          <w:highlight w:val="white"/>
        </w:rPr>
      </w:pPr>
    </w:p>
    <w:p w14:paraId="5092246A" w14:textId="77777777" w:rsidR="005E740A" w:rsidRDefault="0038242F">
      <w:pPr>
        <w:spacing w:before="120"/>
        <w:jc w:val="both"/>
        <w:rPr>
          <w:rFonts w:ascii="Muli" w:eastAsia="Muli" w:hAnsi="Muli" w:cs="Muli"/>
          <w:b/>
        </w:rPr>
      </w:pPr>
      <w:r>
        <w:rPr>
          <w:rFonts w:ascii="Muli" w:eastAsia="Muli" w:hAnsi="Muli" w:cs="Muli"/>
          <w:b/>
        </w:rPr>
        <w:lastRenderedPageBreak/>
        <w:t>Q4. Do you have any feedback abo</w:t>
      </w:r>
      <w:r>
        <w:rPr>
          <w:rFonts w:ascii="Muli" w:eastAsia="Muli" w:hAnsi="Muli" w:cs="Muli"/>
          <w:b/>
        </w:rPr>
        <w:t xml:space="preserve">ut the Committee determining standards in a subsidiary instrument under the rules? </w:t>
      </w:r>
    </w:p>
    <w:p w14:paraId="118BD9DE" w14:textId="77777777" w:rsidR="005E740A" w:rsidRDefault="0038242F">
      <w:pPr>
        <w:shd w:val="clear" w:color="auto" w:fill="FFFFFF"/>
        <w:jc w:val="both"/>
        <w:rPr>
          <w:rFonts w:ascii="Muli" w:eastAsia="Muli" w:hAnsi="Muli" w:cs="Muli"/>
          <w:color w:val="222222"/>
        </w:rPr>
      </w:pPr>
      <w:proofErr w:type="spellStart"/>
      <w:r>
        <w:rPr>
          <w:rFonts w:ascii="Muli" w:eastAsia="Muli" w:hAnsi="Muli" w:cs="Muli"/>
          <w:color w:val="222222"/>
        </w:rPr>
        <w:t>Wattwatchers</w:t>
      </w:r>
      <w:proofErr w:type="spellEnd"/>
      <w:r>
        <w:rPr>
          <w:rFonts w:ascii="Muli" w:eastAsia="Muli" w:hAnsi="Muli" w:cs="Muli"/>
          <w:color w:val="222222"/>
        </w:rPr>
        <w:t xml:space="preserve"> is cautious about having a blanket approach. This may be appropriate for some ‘standards’, and not for others.</w:t>
      </w:r>
    </w:p>
    <w:p w14:paraId="3D31C794" w14:textId="77777777" w:rsidR="005E740A" w:rsidRDefault="005E740A">
      <w:pPr>
        <w:shd w:val="clear" w:color="auto" w:fill="FFFFFF"/>
        <w:jc w:val="both"/>
        <w:rPr>
          <w:rFonts w:ascii="Muli" w:eastAsia="Muli" w:hAnsi="Muli" w:cs="Muli"/>
          <w:color w:val="222222"/>
        </w:rPr>
      </w:pPr>
    </w:p>
    <w:p w14:paraId="39C25FDE" w14:textId="77777777" w:rsidR="005E740A" w:rsidRDefault="0038242F">
      <w:pPr>
        <w:shd w:val="clear" w:color="auto" w:fill="FFFFFF"/>
        <w:jc w:val="both"/>
        <w:rPr>
          <w:rFonts w:ascii="Muli" w:eastAsia="Muli" w:hAnsi="Muli" w:cs="Muli"/>
          <w:color w:val="222222"/>
        </w:rPr>
      </w:pPr>
      <w:r>
        <w:rPr>
          <w:rFonts w:ascii="Muli" w:eastAsia="Muli" w:hAnsi="Muli" w:cs="Muli"/>
          <w:color w:val="222222"/>
        </w:rPr>
        <w:t>Regardless of what instrument is used, it is cr</w:t>
      </w:r>
      <w:r>
        <w:rPr>
          <w:rFonts w:ascii="Muli" w:eastAsia="Muli" w:hAnsi="Muli" w:cs="Muli"/>
          <w:color w:val="222222"/>
        </w:rPr>
        <w:t>itical that there is appropriate transparency and appropriate periods for the industry to be consulted.</w:t>
      </w:r>
    </w:p>
    <w:p w14:paraId="70E49F16" w14:textId="77777777" w:rsidR="005E740A" w:rsidRDefault="005E740A">
      <w:pPr>
        <w:shd w:val="clear" w:color="auto" w:fill="FFFFFF"/>
        <w:jc w:val="both"/>
        <w:rPr>
          <w:rFonts w:ascii="Muli" w:eastAsia="Muli" w:hAnsi="Muli" w:cs="Muli"/>
          <w:color w:val="222222"/>
        </w:rPr>
      </w:pPr>
    </w:p>
    <w:p w14:paraId="0DB80E39" w14:textId="77777777" w:rsidR="005E740A" w:rsidRDefault="0038242F">
      <w:pPr>
        <w:shd w:val="clear" w:color="auto" w:fill="FFFFFF"/>
        <w:jc w:val="both"/>
        <w:rPr>
          <w:rFonts w:ascii="Muli" w:eastAsia="Muli" w:hAnsi="Muli" w:cs="Muli"/>
          <w:color w:val="222222"/>
        </w:rPr>
      </w:pPr>
      <w:r>
        <w:rPr>
          <w:rFonts w:ascii="Muli" w:eastAsia="Muli" w:hAnsi="Muli" w:cs="Muli"/>
          <w:color w:val="222222"/>
        </w:rPr>
        <w:t>Given the longer-term energy transition agenda, a degree of caution is advisable. As the Post 2025 Market Design work is progressed, it may be appropriate to keep options open if some things are best left as being 'advised', by way of interim guidance, whi</w:t>
      </w:r>
      <w:r>
        <w:rPr>
          <w:rFonts w:ascii="Muli" w:eastAsia="Muli" w:hAnsi="Muli" w:cs="Muli"/>
          <w:color w:val="222222"/>
        </w:rPr>
        <w:t>le others should be 'determined' where great clarity and unity is apparent across the stakeholder universe. Indeed, such a pathway may be specifically appropriate to some DER standards as things are practically emerging and evolving from a technology and p</w:t>
      </w:r>
      <w:r>
        <w:rPr>
          <w:rFonts w:ascii="Muli" w:eastAsia="Muli" w:hAnsi="Muli" w:cs="Muli"/>
          <w:color w:val="222222"/>
        </w:rPr>
        <w:t xml:space="preserve">roduct perspective, and relevant new technologies are far from reaching a ‘steady state’ level of maturity.. </w:t>
      </w:r>
    </w:p>
    <w:p w14:paraId="690664AA" w14:textId="77777777" w:rsidR="005E740A" w:rsidRDefault="005E740A">
      <w:pPr>
        <w:spacing w:before="120"/>
        <w:jc w:val="both"/>
        <w:rPr>
          <w:rFonts w:ascii="Muli" w:eastAsia="Muli" w:hAnsi="Muli" w:cs="Muli"/>
          <w:b/>
        </w:rPr>
      </w:pPr>
    </w:p>
    <w:p w14:paraId="3550C44C" w14:textId="77777777" w:rsidR="005E740A" w:rsidRDefault="0038242F">
      <w:pPr>
        <w:spacing w:before="120"/>
        <w:jc w:val="both"/>
        <w:rPr>
          <w:rFonts w:ascii="Muli" w:eastAsia="Muli" w:hAnsi="Muli" w:cs="Muli"/>
          <w:b/>
        </w:rPr>
      </w:pPr>
      <w:r>
        <w:rPr>
          <w:rFonts w:ascii="Muli" w:eastAsia="Muli" w:hAnsi="Muli" w:cs="Muli"/>
          <w:b/>
        </w:rPr>
        <w:t>Q5. Do you have any feedback on the development of new compliance and enforcement arrangements for DER technical standards?</w:t>
      </w:r>
    </w:p>
    <w:p w14:paraId="768758B8" w14:textId="77777777" w:rsidR="005E740A" w:rsidRDefault="0038242F">
      <w:pPr>
        <w:spacing w:before="120"/>
        <w:jc w:val="both"/>
        <w:rPr>
          <w:rFonts w:ascii="Muli" w:eastAsia="Muli" w:hAnsi="Muli" w:cs="Muli"/>
          <w:color w:val="222222"/>
          <w:highlight w:val="white"/>
        </w:rPr>
      </w:pPr>
      <w:r>
        <w:rPr>
          <w:rFonts w:ascii="Muli" w:eastAsia="Muli" w:hAnsi="Muli" w:cs="Muli"/>
          <w:color w:val="222222"/>
          <w:highlight w:val="white"/>
        </w:rPr>
        <w:t xml:space="preserve">Again in common with </w:t>
      </w:r>
      <w:r>
        <w:rPr>
          <w:rFonts w:ascii="Muli" w:eastAsia="Muli" w:hAnsi="Muli" w:cs="Muli"/>
          <w:color w:val="222222"/>
          <w:highlight w:val="white"/>
        </w:rPr>
        <w:t xml:space="preserve">a number of our new technology peers, </w:t>
      </w:r>
      <w:proofErr w:type="spellStart"/>
      <w:r>
        <w:rPr>
          <w:rFonts w:ascii="Muli" w:eastAsia="Muli" w:hAnsi="Muli" w:cs="Muli"/>
          <w:color w:val="222222"/>
          <w:highlight w:val="white"/>
        </w:rPr>
        <w:t>Wattwatchers</w:t>
      </w:r>
      <w:proofErr w:type="spellEnd"/>
      <w:r>
        <w:rPr>
          <w:rFonts w:ascii="Muli" w:eastAsia="Muli" w:hAnsi="Muli" w:cs="Muli"/>
          <w:color w:val="222222"/>
          <w:highlight w:val="white"/>
        </w:rPr>
        <w:t xml:space="preserve"> contends that any new requirements for compliance and enforcement should have clear and workable implementation arrangements and be designed to ensure wide adoption and interaction. New arrangements (if de</w:t>
      </w:r>
      <w:r>
        <w:rPr>
          <w:rFonts w:ascii="Muli" w:eastAsia="Muli" w:hAnsi="Muli" w:cs="Muli"/>
          <w:color w:val="222222"/>
          <w:highlight w:val="white"/>
        </w:rPr>
        <w:t>veloped) should be appropriate to the product and level of apparent (probabilistic rather than deterministic) risk. Consultation on costs, structures and approvals for compliance and implications for non-compliance/enforcement should be undertaken with a f</w:t>
      </w:r>
      <w:r>
        <w:rPr>
          <w:rFonts w:ascii="Muli" w:eastAsia="Muli" w:hAnsi="Muli" w:cs="Muli"/>
          <w:color w:val="222222"/>
          <w:highlight w:val="white"/>
        </w:rPr>
        <w:t>ocus on OEM developers and consumers, who will largely bear any increased cost implications at the purchase point.</w:t>
      </w:r>
    </w:p>
    <w:p w14:paraId="41638521" w14:textId="77777777" w:rsidR="005E740A" w:rsidRDefault="005E740A">
      <w:pPr>
        <w:spacing w:before="120"/>
        <w:jc w:val="both"/>
        <w:rPr>
          <w:rFonts w:ascii="Muli" w:eastAsia="Muli" w:hAnsi="Muli" w:cs="Muli"/>
          <w:b/>
          <w:color w:val="222222"/>
          <w:highlight w:val="white"/>
        </w:rPr>
      </w:pPr>
    </w:p>
    <w:p w14:paraId="21F70740" w14:textId="77777777" w:rsidR="005E740A" w:rsidRDefault="0038242F">
      <w:pPr>
        <w:spacing w:before="120"/>
        <w:jc w:val="both"/>
        <w:rPr>
          <w:rFonts w:ascii="Muli" w:eastAsia="Muli" w:hAnsi="Muli" w:cs="Muli"/>
          <w:b/>
        </w:rPr>
      </w:pPr>
      <w:r>
        <w:rPr>
          <w:rFonts w:ascii="Muli" w:eastAsia="Muli" w:hAnsi="Muli" w:cs="Muli"/>
          <w:b/>
        </w:rPr>
        <w:t>Q6. Do you support the proposed composition of the membership and nature of chair of the Committee? Please provide reasons or nominate alter</w:t>
      </w:r>
      <w:r>
        <w:rPr>
          <w:rFonts w:ascii="Muli" w:eastAsia="Muli" w:hAnsi="Muli" w:cs="Muli"/>
          <w:b/>
        </w:rPr>
        <w:t xml:space="preserve">native arrangements. </w:t>
      </w:r>
    </w:p>
    <w:p w14:paraId="1CDDE7F0" w14:textId="77777777" w:rsidR="005E740A" w:rsidRDefault="0038242F">
      <w:pPr>
        <w:shd w:val="clear" w:color="auto" w:fill="FFFFFF"/>
        <w:jc w:val="both"/>
        <w:rPr>
          <w:rFonts w:ascii="Muli" w:eastAsia="Muli" w:hAnsi="Muli" w:cs="Muli"/>
          <w:color w:val="222222"/>
        </w:rPr>
      </w:pPr>
      <w:r>
        <w:rPr>
          <w:rFonts w:ascii="Muli" w:eastAsia="Muli" w:hAnsi="Muli" w:cs="Muli"/>
          <w:color w:val="222222"/>
        </w:rPr>
        <w:t xml:space="preserve">As was canvassed in the new technology vendors session with ESB representatives on July 22, </w:t>
      </w:r>
      <w:proofErr w:type="spellStart"/>
      <w:r>
        <w:rPr>
          <w:rFonts w:ascii="Muli" w:eastAsia="Muli" w:hAnsi="Muli" w:cs="Muli"/>
          <w:color w:val="222222"/>
        </w:rPr>
        <w:t>Wattwatchers</w:t>
      </w:r>
      <w:proofErr w:type="spellEnd"/>
      <w:r>
        <w:rPr>
          <w:rFonts w:ascii="Muli" w:eastAsia="Muli" w:hAnsi="Muli" w:cs="Muli"/>
          <w:color w:val="222222"/>
        </w:rPr>
        <w:t xml:space="preserve"> supports adding an additional OEM / DER representative. As noted in those ESB discussions with DER industry stakeholders, getting</w:t>
      </w:r>
      <w:r>
        <w:rPr>
          <w:rFonts w:ascii="Muli" w:eastAsia="Muli" w:hAnsi="Muli" w:cs="Muli"/>
          <w:color w:val="222222"/>
        </w:rPr>
        <w:t xml:space="preserve"> one person to represent the diverse mix of OEMs in Australia that is </w:t>
      </w:r>
      <w:proofErr w:type="spellStart"/>
      <w:r>
        <w:rPr>
          <w:rFonts w:ascii="Muli" w:eastAsia="Muli" w:hAnsi="Muli" w:cs="Muli"/>
          <w:color w:val="222222"/>
        </w:rPr>
        <w:t>recognised</w:t>
      </w:r>
      <w:proofErr w:type="spellEnd"/>
      <w:r>
        <w:rPr>
          <w:rFonts w:ascii="Muli" w:eastAsia="Muli" w:hAnsi="Muli" w:cs="Muli"/>
          <w:color w:val="222222"/>
        </w:rPr>
        <w:t xml:space="preserve"> as a leader technically and commercially will be difficult to achieve. It would be better to aim to get one representative who is highly technically competent in another repre</w:t>
      </w:r>
      <w:r>
        <w:rPr>
          <w:rFonts w:ascii="Muli" w:eastAsia="Muli" w:hAnsi="Muli" w:cs="Muli"/>
          <w:color w:val="222222"/>
        </w:rPr>
        <w:t xml:space="preserve">sentative who is highly commercially competent. </w:t>
      </w:r>
    </w:p>
    <w:p w14:paraId="081792D2" w14:textId="77777777" w:rsidR="005E740A" w:rsidRDefault="005E740A">
      <w:pPr>
        <w:shd w:val="clear" w:color="auto" w:fill="FFFFFF"/>
        <w:jc w:val="both"/>
        <w:rPr>
          <w:rFonts w:ascii="Muli" w:eastAsia="Muli" w:hAnsi="Muli" w:cs="Muli"/>
          <w:color w:val="222222"/>
        </w:rPr>
      </w:pPr>
    </w:p>
    <w:p w14:paraId="0B683159" w14:textId="77777777" w:rsidR="005E740A" w:rsidRDefault="0038242F">
      <w:pPr>
        <w:shd w:val="clear" w:color="auto" w:fill="FFFFFF"/>
        <w:jc w:val="both"/>
        <w:rPr>
          <w:rFonts w:ascii="Muli" w:eastAsia="Muli" w:hAnsi="Muli" w:cs="Muli"/>
          <w:color w:val="222222"/>
        </w:rPr>
      </w:pPr>
      <w:proofErr w:type="spellStart"/>
      <w:r>
        <w:rPr>
          <w:rFonts w:ascii="Muli" w:eastAsia="Muli" w:hAnsi="Muli" w:cs="Muli"/>
          <w:color w:val="222222"/>
        </w:rPr>
        <w:t>Wattwatchers</w:t>
      </w:r>
      <w:proofErr w:type="spellEnd"/>
      <w:r>
        <w:rPr>
          <w:rFonts w:ascii="Muli" w:eastAsia="Muli" w:hAnsi="Muli" w:cs="Muli"/>
          <w:color w:val="222222"/>
        </w:rPr>
        <w:t xml:space="preserve"> supports ensuring that the Chair of this Committee has a good consumer / customer background in addition to their DER industry background.</w:t>
      </w:r>
    </w:p>
    <w:p w14:paraId="3739D982" w14:textId="77777777" w:rsidR="005E740A" w:rsidRDefault="005E740A">
      <w:pPr>
        <w:spacing w:before="120"/>
        <w:jc w:val="both"/>
        <w:rPr>
          <w:rFonts w:ascii="Muli" w:eastAsia="Muli" w:hAnsi="Muli" w:cs="Muli"/>
          <w:b/>
        </w:rPr>
      </w:pPr>
    </w:p>
    <w:p w14:paraId="415A1037" w14:textId="77777777" w:rsidR="003070C2" w:rsidRDefault="003070C2">
      <w:pPr>
        <w:spacing w:before="120"/>
        <w:jc w:val="both"/>
        <w:rPr>
          <w:rFonts w:ascii="Muli" w:eastAsia="Muli" w:hAnsi="Muli" w:cs="Muli"/>
          <w:b/>
        </w:rPr>
      </w:pPr>
    </w:p>
    <w:p w14:paraId="372CEC77" w14:textId="77777777" w:rsidR="003070C2" w:rsidRDefault="003070C2">
      <w:pPr>
        <w:spacing w:before="120"/>
        <w:jc w:val="both"/>
        <w:rPr>
          <w:rFonts w:ascii="Muli" w:eastAsia="Muli" w:hAnsi="Muli" w:cs="Muli"/>
          <w:b/>
        </w:rPr>
      </w:pPr>
    </w:p>
    <w:p w14:paraId="51786CF1" w14:textId="77777777" w:rsidR="003070C2" w:rsidRDefault="003070C2">
      <w:pPr>
        <w:spacing w:before="120"/>
        <w:jc w:val="both"/>
        <w:rPr>
          <w:rFonts w:ascii="Muli" w:eastAsia="Muli" w:hAnsi="Muli" w:cs="Muli"/>
          <w:b/>
        </w:rPr>
      </w:pPr>
    </w:p>
    <w:p w14:paraId="13F83FFB" w14:textId="77777777" w:rsidR="003070C2" w:rsidRDefault="003070C2">
      <w:pPr>
        <w:spacing w:before="120"/>
        <w:jc w:val="both"/>
        <w:rPr>
          <w:rFonts w:ascii="Muli" w:eastAsia="Muli" w:hAnsi="Muli" w:cs="Muli"/>
          <w:b/>
        </w:rPr>
      </w:pPr>
    </w:p>
    <w:p w14:paraId="35BB3F46" w14:textId="77777777" w:rsidR="005E740A" w:rsidRDefault="0038242F">
      <w:pPr>
        <w:spacing w:before="120"/>
        <w:jc w:val="both"/>
        <w:rPr>
          <w:rFonts w:ascii="Muli" w:eastAsia="Muli" w:hAnsi="Muli" w:cs="Muli"/>
          <w:b/>
        </w:rPr>
      </w:pPr>
      <w:r>
        <w:rPr>
          <w:rFonts w:ascii="Muli" w:eastAsia="Muli" w:hAnsi="Muli" w:cs="Muli"/>
          <w:b/>
        </w:rPr>
        <w:t>Q7. Do you support the proposed terms and selection a</w:t>
      </w:r>
      <w:r>
        <w:rPr>
          <w:rFonts w:ascii="Muli" w:eastAsia="Muli" w:hAnsi="Muli" w:cs="Muli"/>
          <w:b/>
        </w:rPr>
        <w:t xml:space="preserve">rrangements? Please provide reasons. </w:t>
      </w:r>
    </w:p>
    <w:p w14:paraId="6B773805" w14:textId="77777777" w:rsidR="005E740A" w:rsidRDefault="0038242F">
      <w:pPr>
        <w:jc w:val="both"/>
        <w:rPr>
          <w:rFonts w:ascii="Muli" w:eastAsia="Muli" w:hAnsi="Muli" w:cs="Muli"/>
        </w:rPr>
      </w:pPr>
      <w:r>
        <w:rPr>
          <w:rFonts w:ascii="Muli" w:eastAsia="Muli" w:hAnsi="Muli" w:cs="Muli"/>
        </w:rPr>
        <w:t xml:space="preserve">Yes, </w:t>
      </w:r>
      <w:proofErr w:type="spellStart"/>
      <w:r>
        <w:rPr>
          <w:rFonts w:ascii="Muli" w:eastAsia="Muli" w:hAnsi="Muli" w:cs="Muli"/>
        </w:rPr>
        <w:t>Wattwatchers</w:t>
      </w:r>
      <w:proofErr w:type="spellEnd"/>
      <w:r>
        <w:rPr>
          <w:rFonts w:ascii="Muli" w:eastAsia="Muli" w:hAnsi="Muli" w:cs="Muli"/>
        </w:rPr>
        <w:t xml:space="preserve"> is broadly supportive of the proposed terms. We would welcome:</w:t>
      </w:r>
    </w:p>
    <w:p w14:paraId="57ACFE9E" w14:textId="77777777" w:rsidR="005E740A" w:rsidRDefault="0038242F">
      <w:pPr>
        <w:numPr>
          <w:ilvl w:val="0"/>
          <w:numId w:val="3"/>
        </w:numPr>
        <w:jc w:val="both"/>
        <w:rPr>
          <w:rFonts w:ascii="Muli" w:eastAsia="Muli" w:hAnsi="Muli" w:cs="Muli"/>
        </w:rPr>
      </w:pPr>
      <w:r>
        <w:rPr>
          <w:rFonts w:ascii="Muli" w:eastAsia="Muli" w:hAnsi="Muli" w:cs="Muli"/>
        </w:rPr>
        <w:t>Requirements for the appointees, or nominees, to get the endorsement of industry stakeholders as part of the process</w:t>
      </w:r>
    </w:p>
    <w:p w14:paraId="22B0D555" w14:textId="77777777" w:rsidR="005E740A" w:rsidRDefault="0038242F">
      <w:pPr>
        <w:numPr>
          <w:ilvl w:val="0"/>
          <w:numId w:val="3"/>
        </w:numPr>
        <w:jc w:val="both"/>
        <w:rPr>
          <w:rFonts w:ascii="Muli" w:eastAsia="Muli" w:hAnsi="Muli" w:cs="Muli"/>
        </w:rPr>
      </w:pPr>
      <w:r>
        <w:rPr>
          <w:rFonts w:ascii="Muli" w:eastAsia="Muli" w:hAnsi="Muli" w:cs="Muli"/>
        </w:rPr>
        <w:t>Measures to ensure g</w:t>
      </w:r>
      <w:r>
        <w:rPr>
          <w:rFonts w:ascii="Muli" w:eastAsia="Muli" w:hAnsi="Muli" w:cs="Muli"/>
        </w:rPr>
        <w:t>ender and ethnicity balance in appointments and leadership of the Committee and in its sub-committees/subordinate technical working groups.</w:t>
      </w:r>
    </w:p>
    <w:p w14:paraId="74F4E0DD" w14:textId="77777777" w:rsidR="005E740A" w:rsidRDefault="005E740A">
      <w:pPr>
        <w:jc w:val="both"/>
        <w:rPr>
          <w:rFonts w:ascii="Muli" w:eastAsia="Muli" w:hAnsi="Muli" w:cs="Muli"/>
          <w:b/>
        </w:rPr>
      </w:pPr>
    </w:p>
    <w:p w14:paraId="716366F5" w14:textId="77777777" w:rsidR="005E740A" w:rsidRDefault="005E740A">
      <w:pPr>
        <w:spacing w:before="120"/>
        <w:jc w:val="both"/>
        <w:rPr>
          <w:rFonts w:ascii="Muli" w:eastAsia="Muli" w:hAnsi="Muli" w:cs="Muli"/>
          <w:b/>
        </w:rPr>
      </w:pPr>
    </w:p>
    <w:p w14:paraId="0D71BBC5" w14:textId="77777777" w:rsidR="005E740A" w:rsidRDefault="0038242F">
      <w:pPr>
        <w:spacing w:before="120"/>
        <w:jc w:val="both"/>
        <w:rPr>
          <w:rFonts w:ascii="Muli" w:eastAsia="Muli" w:hAnsi="Muli" w:cs="Muli"/>
          <w:b/>
        </w:rPr>
      </w:pPr>
      <w:r>
        <w:rPr>
          <w:rFonts w:ascii="Muli" w:eastAsia="Muli" w:hAnsi="Muli" w:cs="Muli"/>
          <w:b/>
        </w:rPr>
        <w:t>Q8. Do you have any feedback on the other elements of the proposed operation of the Committee?</w:t>
      </w:r>
    </w:p>
    <w:p w14:paraId="5F3D244B" w14:textId="77777777" w:rsidR="005E740A" w:rsidRDefault="0038242F">
      <w:pPr>
        <w:shd w:val="clear" w:color="auto" w:fill="FFFFFF"/>
        <w:rPr>
          <w:rFonts w:ascii="Muli" w:eastAsia="Muli" w:hAnsi="Muli" w:cs="Muli"/>
          <w:color w:val="222222"/>
        </w:rPr>
      </w:pPr>
      <w:r>
        <w:rPr>
          <w:rFonts w:ascii="Muli" w:eastAsia="Muli" w:hAnsi="Muli" w:cs="Muli"/>
        </w:rPr>
        <w:t xml:space="preserve">Simply, </w:t>
      </w:r>
      <w:proofErr w:type="spellStart"/>
      <w:r>
        <w:rPr>
          <w:rFonts w:ascii="Muli" w:eastAsia="Muli" w:hAnsi="Muli" w:cs="Muli"/>
        </w:rPr>
        <w:t>Wattwatchers</w:t>
      </w:r>
      <w:proofErr w:type="spellEnd"/>
      <w:r>
        <w:rPr>
          <w:rFonts w:ascii="Muli" w:eastAsia="Muli" w:hAnsi="Muli" w:cs="Muli"/>
        </w:rPr>
        <w:t xml:space="preserve"> would reiterate our urgings that the ESB should apply particular attention to ensuring:</w:t>
      </w:r>
    </w:p>
    <w:p w14:paraId="47A64622" w14:textId="77777777" w:rsidR="005E740A" w:rsidRDefault="0038242F">
      <w:pPr>
        <w:numPr>
          <w:ilvl w:val="0"/>
          <w:numId w:val="4"/>
        </w:numPr>
        <w:spacing w:before="200"/>
        <w:ind w:left="940"/>
        <w:rPr>
          <w:rFonts w:ascii="Muli" w:eastAsia="Muli" w:hAnsi="Muli" w:cs="Muli"/>
        </w:rPr>
      </w:pPr>
      <w:r>
        <w:rPr>
          <w:rFonts w:ascii="Muli" w:eastAsia="Muli" w:hAnsi="Muli" w:cs="Muli"/>
          <w:color w:val="222222"/>
        </w:rPr>
        <w:t>Engagement and deliberate inclusion of the energy tech community to directly counter the power and influence imbalance between long-established ind</w:t>
      </w:r>
      <w:r>
        <w:rPr>
          <w:rFonts w:ascii="Muli" w:eastAsia="Muli" w:hAnsi="Muli" w:cs="Muli"/>
          <w:color w:val="222222"/>
        </w:rPr>
        <w:t>ustry incumbents and emerging innovators</w:t>
      </w:r>
    </w:p>
    <w:p w14:paraId="50DD6DFA" w14:textId="77777777" w:rsidR="005E740A" w:rsidRDefault="0038242F">
      <w:pPr>
        <w:numPr>
          <w:ilvl w:val="0"/>
          <w:numId w:val="4"/>
        </w:numPr>
        <w:ind w:left="940"/>
        <w:rPr>
          <w:rFonts w:ascii="Muli" w:eastAsia="Muli" w:hAnsi="Muli" w:cs="Muli"/>
        </w:rPr>
      </w:pPr>
      <w:r>
        <w:rPr>
          <w:rFonts w:ascii="Muli" w:eastAsia="Muli" w:hAnsi="Muli" w:cs="Muli"/>
          <w:color w:val="222222"/>
        </w:rPr>
        <w:t>Protection of the ‘opportunity space’ for ongoing innovation and positive disruption</w:t>
      </w:r>
    </w:p>
    <w:p w14:paraId="59D0F1AD" w14:textId="77777777" w:rsidR="005E740A" w:rsidRDefault="0038242F">
      <w:pPr>
        <w:numPr>
          <w:ilvl w:val="0"/>
          <w:numId w:val="4"/>
        </w:numPr>
        <w:spacing w:after="200"/>
        <w:ind w:left="940"/>
        <w:rPr>
          <w:rFonts w:ascii="Muli" w:eastAsia="Muli" w:hAnsi="Muli" w:cs="Muli"/>
        </w:rPr>
      </w:pPr>
      <w:proofErr w:type="spellStart"/>
      <w:r>
        <w:rPr>
          <w:rFonts w:ascii="Muli" w:eastAsia="Muli" w:hAnsi="Muli" w:cs="Muli"/>
          <w:color w:val="222222"/>
        </w:rPr>
        <w:t>Maximising</w:t>
      </w:r>
      <w:proofErr w:type="spellEnd"/>
      <w:r>
        <w:rPr>
          <w:rFonts w:ascii="Muli" w:eastAsia="Muli" w:hAnsi="Muli" w:cs="Muli"/>
          <w:color w:val="222222"/>
        </w:rPr>
        <w:t xml:space="preserve"> understanding and inclusion of consumer perspectives and rights </w:t>
      </w:r>
    </w:p>
    <w:p w14:paraId="3FD45C3B" w14:textId="77777777" w:rsidR="005E740A" w:rsidRDefault="005E740A">
      <w:pPr>
        <w:spacing w:before="120"/>
        <w:jc w:val="both"/>
        <w:rPr>
          <w:rFonts w:ascii="Muli" w:eastAsia="Muli" w:hAnsi="Muli" w:cs="Muli"/>
          <w:b/>
        </w:rPr>
      </w:pPr>
    </w:p>
    <w:p w14:paraId="50E309DE" w14:textId="77777777" w:rsidR="005E740A" w:rsidRDefault="0038242F">
      <w:pPr>
        <w:spacing w:before="120"/>
        <w:jc w:val="both"/>
        <w:rPr>
          <w:rFonts w:ascii="Muli" w:eastAsia="Muli" w:hAnsi="Muli" w:cs="Muli"/>
        </w:rPr>
      </w:pPr>
      <w:proofErr w:type="spellStart"/>
      <w:r>
        <w:rPr>
          <w:rFonts w:ascii="Muli" w:eastAsia="Muli" w:hAnsi="Muli" w:cs="Muli"/>
          <w:b/>
        </w:rPr>
        <w:t>Wattwatchers</w:t>
      </w:r>
      <w:proofErr w:type="spellEnd"/>
      <w:r>
        <w:rPr>
          <w:rFonts w:ascii="Muli" w:eastAsia="Muli" w:hAnsi="Muli" w:cs="Muli"/>
          <w:b/>
        </w:rPr>
        <w:t xml:space="preserve"> contact:</w:t>
      </w:r>
      <w:r>
        <w:rPr>
          <w:rFonts w:ascii="Muli" w:eastAsia="Muli" w:hAnsi="Muli" w:cs="Muli"/>
        </w:rPr>
        <w:t xml:space="preserve"> Murray Hogarth, Director of Com</w:t>
      </w:r>
      <w:r>
        <w:rPr>
          <w:rFonts w:ascii="Muli" w:eastAsia="Muli" w:hAnsi="Muli" w:cs="Muli"/>
        </w:rPr>
        <w:t xml:space="preserve">munications and Community Networks, E </w:t>
      </w:r>
      <w:hyperlink r:id="rId8">
        <w:r>
          <w:rPr>
            <w:rFonts w:ascii="Muli" w:eastAsia="Muli" w:hAnsi="Muli" w:cs="Muli"/>
            <w:color w:val="1155CC"/>
            <w:u w:val="single"/>
          </w:rPr>
          <w:t>murray@wattwatchers.com.au</w:t>
        </w:r>
      </w:hyperlink>
      <w:r>
        <w:rPr>
          <w:rFonts w:ascii="Muli" w:eastAsia="Muli" w:hAnsi="Muli" w:cs="Muli"/>
        </w:rPr>
        <w:t xml:space="preserve"> M 0417 267235</w:t>
      </w:r>
    </w:p>
    <w:p w14:paraId="30FE5999" w14:textId="77777777" w:rsidR="005E740A" w:rsidRDefault="005E740A"/>
    <w:sectPr w:rsidR="005E740A">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F7D85" w14:textId="77777777" w:rsidR="0038242F" w:rsidRDefault="0038242F">
      <w:pPr>
        <w:spacing w:line="240" w:lineRule="auto"/>
      </w:pPr>
      <w:r>
        <w:separator/>
      </w:r>
    </w:p>
  </w:endnote>
  <w:endnote w:type="continuationSeparator" w:id="0">
    <w:p w14:paraId="10646642" w14:textId="77777777" w:rsidR="0038242F" w:rsidRDefault="003824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uli">
    <w:altName w:val="Times New Roman"/>
    <w:charset w:val="00"/>
    <w:family w:val="auto"/>
    <w:pitch w:val="default"/>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5C61A" w14:textId="77777777" w:rsidR="005E740A" w:rsidRDefault="0038242F">
    <w:pPr>
      <w:jc w:val="right"/>
    </w:pPr>
    <w:hyperlink r:id="rId1">
      <w:r>
        <w:rPr>
          <w:color w:val="FF9900"/>
          <w:u w:val="single"/>
        </w:rPr>
        <w:t>www.wattwatchers.com.au</w:t>
      </w:r>
    </w:hyperlink>
    <w:r>
      <w:t xml:space="preserve">                                                       </w:t>
    </w:r>
    <w:r>
      <w:fldChar w:fldCharType="begin"/>
    </w:r>
    <w:r>
      <w:instrText>PAGE</w:instrText>
    </w:r>
    <w:r w:rsidR="003070C2">
      <w:fldChar w:fldCharType="separate"/>
    </w:r>
    <w:r w:rsidR="003070C2">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AA897" w14:textId="77777777" w:rsidR="005E740A" w:rsidRDefault="0038242F">
    <w:pPr>
      <w:jc w:val="right"/>
    </w:pPr>
    <w:r>
      <w:fldChar w:fldCharType="begin"/>
    </w:r>
    <w:r>
      <w:instrText>PAGE</w:instrText>
    </w:r>
    <w:r w:rsidR="003070C2">
      <w:fldChar w:fldCharType="separate"/>
    </w:r>
    <w:r w:rsidR="003070C2">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42545" w14:textId="77777777" w:rsidR="0038242F" w:rsidRDefault="0038242F">
      <w:pPr>
        <w:spacing w:line="240" w:lineRule="auto"/>
      </w:pPr>
      <w:r>
        <w:separator/>
      </w:r>
    </w:p>
  </w:footnote>
  <w:footnote w:type="continuationSeparator" w:id="0">
    <w:p w14:paraId="623044C8" w14:textId="77777777" w:rsidR="0038242F" w:rsidRDefault="0038242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760F3" w14:textId="77777777" w:rsidR="005E740A" w:rsidRDefault="0038242F">
    <w:pPr>
      <w:ind w:left="7920"/>
    </w:pPr>
    <w:r>
      <w:rPr>
        <w:noProof/>
        <w:lang w:val="en-GB"/>
      </w:rPr>
      <w:drawing>
        <wp:inline distT="114300" distB="114300" distL="114300" distR="114300" wp14:anchorId="09BD5BA5" wp14:editId="40719119">
          <wp:extent cx="1481138" cy="434319"/>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81138" cy="434319"/>
                  </a:xfrm>
                  <a:prstGeom prst="rect">
                    <a:avLst/>
                  </a:prstGeom>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5B21F" w14:textId="77777777" w:rsidR="005E740A" w:rsidRDefault="0038242F">
    <w:r>
      <w:rPr>
        <w:noProof/>
        <w:lang w:val="en-GB"/>
      </w:rPr>
      <w:drawing>
        <wp:inline distT="114300" distB="114300" distL="114300" distR="114300" wp14:anchorId="5FD842D9" wp14:editId="068965B6">
          <wp:extent cx="5943600" cy="173990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943600" cy="1739900"/>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009A5"/>
    <w:multiLevelType w:val="multilevel"/>
    <w:tmpl w:val="809C4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CE119DB"/>
    <w:multiLevelType w:val="multilevel"/>
    <w:tmpl w:val="3C8A04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55710D1D"/>
    <w:multiLevelType w:val="multilevel"/>
    <w:tmpl w:val="6F00F050"/>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5C70AC9"/>
    <w:multiLevelType w:val="multilevel"/>
    <w:tmpl w:val="F94A2762"/>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40A"/>
    <w:rsid w:val="003070C2"/>
    <w:rsid w:val="0038242F"/>
    <w:rsid w:val="005E740A"/>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65220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hyperlink" Target="mailto:murray@wattwatchers.com.au" TargetMode="External"/><Relationship Id="rId3" Type="http://schemas.openxmlformats.org/officeDocument/2006/relationships/settings" Target="settings.xml"/><Relationship Id="rId12" Type="http://schemas.openxmlformats.org/officeDocument/2006/relationships/footer" Target="footer2.xml"/><Relationship Id="rId7" Type="http://schemas.openxmlformats.org/officeDocument/2006/relationships/hyperlink" Target="https://dermonitoring.guide" TargetMode="Externa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1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wattwatchers.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87B953-BA99-4EE0-8990-6806AF6AB562}"/>
</file>

<file path=customXml/itemProps2.xml><?xml version="1.0" encoding="utf-8"?>
<ds:datastoreItem xmlns:ds="http://schemas.openxmlformats.org/officeDocument/2006/customXml" ds:itemID="{BC6AA5A0-BEF4-4698-84BF-9EE7E5C5053F}"/>
</file>

<file path=customXml/itemProps3.xml><?xml version="1.0" encoding="utf-8"?>
<ds:datastoreItem xmlns:ds="http://schemas.openxmlformats.org/officeDocument/2006/customXml" ds:itemID="{B57B44E5-34B1-4731-A234-FAC96861825C}"/>
</file>

<file path=docProps/app.xml><?xml version="1.0" encoding="utf-8"?>
<Properties xmlns="http://schemas.openxmlformats.org/officeDocument/2006/extended-properties" xmlns:vt="http://schemas.openxmlformats.org/officeDocument/2006/docPropsVTypes">
  <Template>Normal.dotm</Template>
  <TotalTime>2</TotalTime>
  <Pages>5</Pages>
  <Words>1671</Words>
  <Characters>9528</Characters>
  <Application>Microsoft Macintosh Word</Application>
  <DocSecurity>0</DocSecurity>
  <Lines>79</Lines>
  <Paragraphs>22</Paragraphs>
  <ScaleCrop>false</ScaleCrop>
  <LinksUpToDate>false</LinksUpToDate>
  <CharactersWithSpaces>11177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Murray Hogarth</cp:lastModifiedBy>
  <cp:revision>2</cp:revision>
  <dcterms:created xsi:type="dcterms:W3CDTF">2020-07-28T06:13:00Z</dcterms:created>
  <dcterms:modified xsi:type="dcterms:W3CDTF">2020-07-28T06:13:00Z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